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charts/colors1.xml" ContentType="application/vnd.ms-office.chartcolorstyle+xml"/>
  <Override PartName="/word/fontTable.xml" ContentType="application/vnd.openxmlformats-officedocument.wordprocessingml.fontTable+xml"/>
  <Override PartName="/docProps/core.xml" ContentType="application/vnd.openxmlformats-package.core-properties+xml"/>
  <Override PartName="/word/footnotes.xml" ContentType="application/vnd.openxmlformats-officedocument.wordprocessingml.footnotes+xml"/>
  <Override PartName="/word/footer1.xml" ContentType="application/vnd.openxmlformats-officedocument.wordprocessingml.footer+xml"/>
  <Override PartName="/word/charts/chart1.xml" ContentType="application/vnd.openxmlformats-officedocument.drawingml.chart+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word/charts/style1.xml" ContentType="application/vnd.ms-office.chartstyle+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29"/>
        <w:tabs>
          <w:tab w:val="left" w:leader="none" w:pos="9214"/>
          <w:tab w:val="left" w:leader="none" w:pos="9639"/>
        </w:tabs>
        <w:rPr>
          <w:rFonts w:ascii="Century Gothic" w:hAnsi="Century Gothic"/>
          <w:sz w:val="24"/>
          <w:szCs w:val="24"/>
        </w:rPr>
      </w:pPr>
      <w:r>
        <w:rPr>
          <w:rFonts w:ascii="Century Gothic" w:hAnsi="Century Gothic"/>
          <w:noProof/>
          <w:sz w:val="24"/>
          <w:szCs w:val="24"/>
        </w:rPr>
        <w:drawing>
          <wp:inline distL="0" distT="0" distB="0" distR="0">
            <wp:extent cx="6129020" cy="8853029"/>
            <wp:effectExtent l="0" t="0" r="5080" b="5715"/>
            <wp:docPr id="1026" name="Image 16" descr="C:\Users\HP\Desktop\DOSSIER PDIC-GAMOWIGNA\DOCUMENTS PDIC TIEBELE-ZECCO\PDIC ZECCO\PDG-PDIC-ZECCO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 cstate="print"/>
                    <a:srcRect l="0" t="0" r="0" b="0"/>
                    <a:stretch/>
                  </pic:blipFill>
                  <pic:spPr>
                    <a:xfrm rot="0">
                      <a:off x="0" y="0"/>
                      <a:ext cx="6129020" cy="8853029"/>
                    </a:xfrm>
                    <a:prstGeom prst="rect"/>
                    <a:ln>
                      <a:noFill/>
                    </a:ln>
                  </pic:spPr>
                </pic:pic>
              </a:graphicData>
            </a:graphic>
          </wp:inline>
        </w:drawing>
      </w:r>
    </w:p>
    <w:p>
      <w:pPr>
        <w:pStyle w:val="style29"/>
        <w:tabs>
          <w:tab w:val="left" w:leader="none" w:pos="9214"/>
          <w:tab w:val="left" w:leader="none" w:pos="9639"/>
        </w:tabs>
        <w:rPr>
          <w:rFonts w:ascii="Century Gothic" w:hAnsi="Century Gothic"/>
          <w:sz w:val="24"/>
          <w:szCs w:val="24"/>
        </w:rPr>
      </w:pPr>
    </w:p>
    <w:p>
      <w:pPr>
        <w:pStyle w:val="style29"/>
        <w:tabs>
          <w:tab w:val="left" w:leader="none" w:pos="9214"/>
          <w:tab w:val="left" w:leader="none" w:pos="9639"/>
        </w:tabs>
        <w:rPr>
          <w:rFonts w:ascii="Century Gothic" w:hAnsi="Century Gothic"/>
          <w:sz w:val="24"/>
          <w:szCs w:val="24"/>
        </w:rPr>
        <w:sectPr>
          <w:footerReference w:type="default" r:id="rId3"/>
          <w:pgSz w:w="11920" w:h="16840" w:orient="portrait"/>
          <w:pgMar w:top="1134" w:right="1134" w:bottom="1134" w:left="1134" w:header="709" w:footer="709" w:gutter="0"/>
          <w:pgNumType w:fmt="lowerRoman" w:start="1"/>
          <w:cols w:space="708"/>
          <w:titlePg/>
          <w:docGrid w:linePitch="360"/>
        </w:sectPr>
      </w:pPr>
    </w:p>
    <w:bookmarkStart w:id="0" w:name="_Toc82049034"/>
    <w:p>
      <w:pPr>
        <w:pStyle w:val="style1"/>
        <w:numPr>
          <w:ilvl w:val="0"/>
          <w:numId w:val="0"/>
        </w:numPr>
        <w:tabs>
          <w:tab w:val="left" w:leader="none" w:pos="9214"/>
          <w:tab w:val="left" w:leader="none" w:pos="9639"/>
        </w:tabs>
        <w:spacing w:before="0" w:after="0"/>
        <w:ind w:hanging="432"/>
        <w:rPr>
          <w:rFonts w:ascii="Century Gothic" w:hAnsi="Century Gothic"/>
          <w:sz w:val="20"/>
          <w:szCs w:val="20"/>
        </w:rPr>
      </w:pPr>
      <w:r>
        <w:rPr>
          <w:rFonts w:ascii="Century Gothic" w:hAnsi="Century Gothic"/>
          <w:sz w:val="20"/>
          <w:szCs w:val="20"/>
        </w:rPr>
        <w:t>TABLE DES MATIERES</w:t>
      </w:r>
      <w:bookmarkEnd w:id="0"/>
    </w:p>
    <w:p>
      <w:pPr>
        <w:pStyle w:val="style266"/>
        <w:tabs>
          <w:tab w:val="left" w:leader="none" w:pos="9214"/>
          <w:tab w:val="left" w:leader="none" w:pos="9639"/>
        </w:tabs>
        <w:spacing w:before="0" w:lineRule="auto" w:line="240"/>
        <w:jc w:val="center"/>
        <w:rPr>
          <w:rFonts w:ascii="Century Gothic" w:cs="Times New Roman" w:hAnsi="Century Gothic"/>
          <w:b/>
          <w:color w:val="auto"/>
          <w:sz w:val="18"/>
          <w:szCs w:val="18"/>
        </w:rPr>
      </w:pPr>
    </w:p>
    <w:p>
      <w:pPr>
        <w:pStyle w:val="style19"/>
        <w:rPr>
          <w:rFonts w:ascii="Century Gothic" w:cs="宋体" w:eastAsia="宋体" w:hAnsi="Century Gothic"/>
          <w:noProof/>
          <w:sz w:val="18"/>
          <w:szCs w:val="18"/>
        </w:rPr>
      </w:pPr>
      <w:r>
        <w:rPr>
          <w:rFonts w:ascii="Century Gothic" w:hAnsi="Century Gothic"/>
          <w:sz w:val="18"/>
          <w:szCs w:val="18"/>
        </w:rPr>
        <w:fldChar w:fldCharType="begin"/>
      </w:r>
      <w:r>
        <w:rPr>
          <w:rFonts w:ascii="Century Gothic" w:hAnsi="Century Gothic"/>
          <w:sz w:val="18"/>
          <w:szCs w:val="18"/>
        </w:rPr>
        <w:instrText xml:space="preserve"> TOC \o "1-3" \h \z \u </w:instrText>
      </w:r>
      <w:r>
        <w:rPr>
          <w:rFonts w:ascii="Century Gothic" w:hAnsi="Century Gothic"/>
          <w:sz w:val="18"/>
          <w:szCs w:val="18"/>
        </w:rPr>
        <w:fldChar w:fldCharType="separate"/>
      </w:r>
      <w:r>
        <w:rPr/>
        <w:fldChar w:fldCharType="begin"/>
      </w:r>
      <w:r>
        <w:instrText xml:space="preserve"> HYPERLINK \l "_Toc82049034" </w:instrText>
      </w:r>
      <w:r>
        <w:rPr/>
        <w:fldChar w:fldCharType="separate"/>
      </w:r>
      <w:r>
        <w:rPr>
          <w:rStyle w:val="style85"/>
          <w:rFonts w:ascii="Century Gothic" w:hAnsi="Century Gothic"/>
          <w:noProof/>
          <w:sz w:val="18"/>
          <w:szCs w:val="18"/>
        </w:rPr>
        <w:t>TABLE DES MATIERES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_Toc82049034 \h </w:instrText>
      </w:r>
      <w:r>
        <w:rPr>
          <w:rFonts w:ascii="Century Gothic" w:hAnsi="Century Gothic"/>
          <w:noProof/>
          <w:webHidden/>
          <w:sz w:val="18"/>
          <w:szCs w:val="18"/>
        </w:rPr>
        <w:fldChar w:fldCharType="separate"/>
      </w:r>
      <w:r>
        <w:rPr>
          <w:rFonts w:ascii="Century Gothic" w:hAnsi="Century Gothic"/>
          <w:noProof/>
          <w:webHidden/>
          <w:sz w:val="18"/>
          <w:szCs w:val="18"/>
        </w:rPr>
        <w:t>i</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"_Toc82049035" </w:instrText>
      </w:r>
      <w:r>
        <w:rPr/>
        <w:fldChar w:fldCharType="separate"/>
      </w:r>
      <w:r>
        <w:rPr>
          <w:rStyle w:val="style85"/>
          <w:rFonts w:ascii="Century Gothic" w:hAnsi="Century Gothic"/>
          <w:noProof/>
          <w:sz w:val="18"/>
          <w:szCs w:val="18"/>
        </w:rPr>
        <w:t>Liste des tableaux</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_Toc82049035 \h </w:instrText>
      </w:r>
      <w:r>
        <w:rPr>
          <w:rFonts w:ascii="Century Gothic" w:hAnsi="Century Gothic"/>
          <w:noProof/>
          <w:webHidden/>
          <w:sz w:val="18"/>
          <w:szCs w:val="18"/>
        </w:rPr>
        <w:fldChar w:fldCharType="separate"/>
      </w:r>
      <w:r>
        <w:rPr>
          <w:rFonts w:ascii="Century Gothic" w:hAnsi="Century Gothic"/>
          <w:noProof/>
          <w:webHidden/>
          <w:sz w:val="18"/>
          <w:szCs w:val="18"/>
        </w:rPr>
        <w:t>ii</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"_Toc82049036" </w:instrText>
      </w:r>
      <w:r>
        <w:rPr/>
        <w:fldChar w:fldCharType="separate"/>
      </w:r>
      <w:r>
        <w:rPr>
          <w:rStyle w:val="style85"/>
          <w:rFonts w:ascii="Century Gothic" w:hAnsi="Century Gothic"/>
          <w:noProof/>
          <w:sz w:val="18"/>
          <w:szCs w:val="18"/>
        </w:rPr>
        <w:t>Liste des figures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_Toc82049036 \h </w:instrText>
      </w:r>
      <w:r>
        <w:rPr>
          <w:rFonts w:ascii="Century Gothic" w:hAnsi="Century Gothic"/>
          <w:noProof/>
          <w:webHidden/>
          <w:sz w:val="18"/>
          <w:szCs w:val="18"/>
        </w:rPr>
        <w:fldChar w:fldCharType="separate"/>
      </w:r>
      <w:r>
        <w:rPr>
          <w:rFonts w:ascii="Century Gothic" w:hAnsi="Century Gothic"/>
          <w:noProof/>
          <w:webHidden/>
          <w:sz w:val="18"/>
          <w:szCs w:val="18"/>
        </w:rPr>
        <w:t>ii</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"_Toc82049037" </w:instrText>
      </w:r>
      <w:r>
        <w:rPr/>
        <w:fldChar w:fldCharType="separate"/>
      </w:r>
      <w:r>
        <w:rPr>
          <w:rStyle w:val="style85"/>
          <w:rFonts w:ascii="Century Gothic" w:hAnsi="Century Gothic"/>
          <w:noProof/>
          <w:sz w:val="18"/>
          <w:szCs w:val="18"/>
        </w:rPr>
        <w:t>Sigles et abréviations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_Toc82049037 \h </w:instrText>
      </w:r>
      <w:r>
        <w:rPr>
          <w:rFonts w:ascii="Century Gothic" w:hAnsi="Century Gothic"/>
          <w:noProof/>
          <w:webHidden/>
          <w:sz w:val="18"/>
          <w:szCs w:val="18"/>
        </w:rPr>
        <w:fldChar w:fldCharType="separate"/>
      </w:r>
      <w:r>
        <w:rPr>
          <w:rFonts w:ascii="Century Gothic" w:hAnsi="Century Gothic"/>
          <w:noProof/>
          <w:webHidden/>
          <w:sz w:val="18"/>
          <w:szCs w:val="18"/>
        </w:rPr>
        <w:t>iii</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"_Toc82049038" </w:instrText>
      </w:r>
      <w:r>
        <w:rPr/>
        <w:fldChar w:fldCharType="separate"/>
      </w:r>
      <w:r>
        <w:rPr>
          <w:rStyle w:val="style85"/>
          <w:rFonts w:ascii="Century Gothic" w:hAnsi="Century Gothic"/>
          <w:noProof/>
          <w:sz w:val="18"/>
          <w:szCs w:val="18"/>
        </w:rPr>
        <w:t>I. INFORMATIONS GENERALES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_Toc82049038 \h </w:instrText>
      </w:r>
      <w:r>
        <w:rPr>
          <w:rFonts w:ascii="Century Gothic" w:hAnsi="Century Gothic"/>
          <w:noProof/>
          <w:webHidden/>
          <w:sz w:val="18"/>
          <w:szCs w:val="18"/>
        </w:rPr>
        <w:fldChar w:fldCharType="separate"/>
      </w:r>
      <w:r>
        <w:rPr>
          <w:rFonts w:ascii="Century Gothic" w:hAnsi="Century Gothic"/>
          <w:noProof/>
          <w:webHidden/>
          <w:sz w:val="18"/>
          <w:szCs w:val="18"/>
        </w:rPr>
        <w:t>1</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"_Toc82049039" </w:instrText>
      </w:r>
      <w:r>
        <w:rPr/>
        <w:fldChar w:fldCharType="separate"/>
      </w:r>
      <w:r>
        <w:rPr>
          <w:rStyle w:val="style85"/>
          <w:rFonts w:ascii="Century Gothic" w:hAnsi="Century Gothic"/>
          <w:noProof/>
          <w:sz w:val="18"/>
          <w:szCs w:val="18"/>
        </w:rPr>
        <w:t>II. Brève présentation de la commune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_Toc82049039 \h </w:instrText>
      </w:r>
      <w:r>
        <w:rPr>
          <w:rFonts w:ascii="Century Gothic" w:hAnsi="Century Gothic"/>
          <w:noProof/>
          <w:webHidden/>
          <w:sz w:val="18"/>
          <w:szCs w:val="18"/>
        </w:rPr>
        <w:fldChar w:fldCharType="separate"/>
      </w:r>
      <w:r>
        <w:rPr>
          <w:rFonts w:ascii="Century Gothic" w:hAnsi="Century Gothic"/>
          <w:noProof/>
          <w:webHidden/>
          <w:sz w:val="18"/>
          <w:szCs w:val="18"/>
        </w:rPr>
        <w:t>2</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"_Toc82049040" </w:instrText>
      </w:r>
      <w:r>
        <w:rPr/>
        <w:fldChar w:fldCharType="separate"/>
      </w:r>
      <w:r>
        <w:rPr>
          <w:rStyle w:val="style85"/>
          <w:rFonts w:ascii="Century Gothic" w:hAnsi="Century Gothic"/>
          <w:noProof/>
          <w:sz w:val="18"/>
          <w:szCs w:val="18"/>
        </w:rPr>
        <w:t>III. Description du PDIC/REDD+</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_Toc82049040 \h </w:instrText>
      </w:r>
      <w:r>
        <w:rPr>
          <w:rFonts w:ascii="Century Gothic" w:hAnsi="Century Gothic"/>
          <w:noProof/>
          <w:webHidden/>
          <w:sz w:val="18"/>
          <w:szCs w:val="18"/>
        </w:rPr>
        <w:fldChar w:fldCharType="separate"/>
      </w:r>
      <w:r>
        <w:rPr>
          <w:rFonts w:ascii="Century Gothic" w:hAnsi="Century Gothic"/>
          <w:noProof/>
          <w:webHidden/>
          <w:sz w:val="18"/>
          <w:szCs w:val="18"/>
        </w:rPr>
        <w:t>5</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"_Toc82049041" </w:instrText>
      </w:r>
      <w:r>
        <w:rPr/>
        <w:fldChar w:fldCharType="separate"/>
      </w:r>
      <w:r>
        <w:rPr>
          <w:rStyle w:val="style85"/>
          <w:rFonts w:ascii="Century Gothic" w:hAnsi="Century Gothic"/>
          <w:noProof/>
          <w:sz w:val="18"/>
          <w:szCs w:val="18"/>
        </w:rPr>
        <w:t>3.1  Quelles sont les « contraintes » auxquelles le PDIC REDD + répond ? :</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_Toc82049041 \h </w:instrText>
      </w:r>
      <w:r>
        <w:rPr>
          <w:rFonts w:ascii="Century Gothic" w:hAnsi="Century Gothic"/>
          <w:noProof/>
          <w:webHidden/>
          <w:sz w:val="18"/>
          <w:szCs w:val="18"/>
        </w:rPr>
        <w:fldChar w:fldCharType="separate"/>
      </w:r>
      <w:r>
        <w:rPr>
          <w:rFonts w:ascii="Century Gothic" w:hAnsi="Century Gothic"/>
          <w:noProof/>
          <w:webHidden/>
          <w:sz w:val="18"/>
          <w:szCs w:val="18"/>
        </w:rPr>
        <w:t>5</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"_Toc82049042" </w:instrText>
      </w:r>
      <w:r>
        <w:rPr/>
        <w:fldChar w:fldCharType="separate"/>
      </w:r>
      <w:r>
        <w:rPr>
          <w:rStyle w:val="style85"/>
          <w:rFonts w:ascii="Century Gothic" w:hAnsi="Century Gothic"/>
          <w:noProof/>
          <w:sz w:val="18"/>
          <w:szCs w:val="18"/>
        </w:rPr>
        <w:t>3.2  Description globale du PDIC / REDD +</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_Toc82049042 \h </w:instrText>
      </w:r>
      <w:r>
        <w:rPr>
          <w:rFonts w:ascii="Century Gothic" w:hAnsi="Century Gothic"/>
          <w:noProof/>
          <w:webHidden/>
          <w:sz w:val="18"/>
          <w:szCs w:val="18"/>
        </w:rPr>
        <w:fldChar w:fldCharType="separate"/>
      </w:r>
      <w:r>
        <w:rPr>
          <w:rFonts w:ascii="Century Gothic" w:hAnsi="Century Gothic"/>
          <w:noProof/>
          <w:webHidden/>
          <w:sz w:val="18"/>
          <w:szCs w:val="18"/>
        </w:rPr>
        <w:t>9</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"_Toc82049043" </w:instrText>
      </w:r>
      <w:r>
        <w:rPr/>
        <w:fldChar w:fldCharType="separate"/>
      </w:r>
      <w:r>
        <w:rPr>
          <w:rStyle w:val="style85"/>
          <w:rFonts w:ascii="Century Gothic" w:hAnsi="Century Gothic"/>
          <w:noProof/>
          <w:sz w:val="18"/>
          <w:szCs w:val="18"/>
        </w:rPr>
        <w:t>IV. Espaces de conservation de la commune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_Toc82049043 \h </w:instrText>
      </w:r>
      <w:r>
        <w:rPr>
          <w:rFonts w:ascii="Century Gothic" w:hAnsi="Century Gothic"/>
          <w:noProof/>
          <w:webHidden/>
          <w:sz w:val="18"/>
          <w:szCs w:val="18"/>
        </w:rPr>
        <w:fldChar w:fldCharType="separate"/>
      </w:r>
      <w:r>
        <w:rPr>
          <w:rFonts w:ascii="Century Gothic" w:hAnsi="Century Gothic"/>
          <w:noProof/>
          <w:webHidden/>
          <w:sz w:val="18"/>
          <w:szCs w:val="18"/>
        </w:rPr>
        <w:t>10</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"_Toc82049044" </w:instrText>
      </w:r>
      <w:r>
        <w:rPr/>
        <w:fldChar w:fldCharType="separate"/>
      </w:r>
      <w:r>
        <w:rPr>
          <w:rStyle w:val="style85"/>
          <w:rFonts w:ascii="Century Gothic" w:hAnsi="Century Gothic"/>
          <w:noProof/>
          <w:sz w:val="18"/>
          <w:szCs w:val="18"/>
        </w:rPr>
        <w:t>4.1. Espace de conservation de Gonré</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_Toc82049044 \h </w:instrText>
      </w:r>
      <w:r>
        <w:rPr>
          <w:rFonts w:ascii="Century Gothic" w:hAnsi="Century Gothic"/>
          <w:noProof/>
          <w:webHidden/>
          <w:sz w:val="18"/>
          <w:szCs w:val="18"/>
        </w:rPr>
        <w:fldChar w:fldCharType="separate"/>
      </w:r>
      <w:r>
        <w:rPr>
          <w:rFonts w:ascii="Century Gothic" w:hAnsi="Century Gothic"/>
          <w:noProof/>
          <w:webHidden/>
          <w:sz w:val="18"/>
          <w:szCs w:val="18"/>
        </w:rPr>
        <w:t>10</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"_Toc82049045" </w:instrText>
      </w:r>
      <w:r>
        <w:rPr/>
        <w:fldChar w:fldCharType="separate"/>
      </w:r>
      <w:r>
        <w:rPr>
          <w:rStyle w:val="style85"/>
          <w:rFonts w:ascii="Century Gothic" w:hAnsi="Century Gothic"/>
          <w:noProof/>
          <w:sz w:val="18"/>
          <w:szCs w:val="18"/>
        </w:rPr>
        <w:t>4.1.1. Description de la forêt villageoise de Gonré</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_Toc82049045 \h </w:instrText>
      </w:r>
      <w:r>
        <w:rPr>
          <w:rFonts w:ascii="Century Gothic" w:hAnsi="Century Gothic"/>
          <w:noProof/>
          <w:webHidden/>
          <w:sz w:val="18"/>
          <w:szCs w:val="18"/>
        </w:rPr>
        <w:fldChar w:fldCharType="separate"/>
      </w:r>
      <w:r>
        <w:rPr>
          <w:rFonts w:ascii="Century Gothic" w:hAnsi="Century Gothic"/>
          <w:noProof/>
          <w:webHidden/>
          <w:sz w:val="18"/>
          <w:szCs w:val="18"/>
        </w:rPr>
        <w:t>10</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"_Toc82049046" </w:instrText>
      </w:r>
      <w:r>
        <w:rPr/>
        <w:fldChar w:fldCharType="separate"/>
      </w:r>
      <w:r>
        <w:rPr>
          <w:rStyle w:val="style85"/>
          <w:rFonts w:ascii="Century Gothic" w:hAnsi="Century Gothic"/>
          <w:noProof/>
          <w:sz w:val="18"/>
          <w:szCs w:val="18"/>
        </w:rPr>
        <w:t>4.1.2. Description détaillée des activités du PDIC REDD + de l’espace de conservation de Gonré</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_Toc82049046 \h </w:instrText>
      </w:r>
      <w:r>
        <w:rPr>
          <w:rFonts w:ascii="Century Gothic" w:hAnsi="Century Gothic"/>
          <w:noProof/>
          <w:webHidden/>
          <w:sz w:val="18"/>
          <w:szCs w:val="18"/>
        </w:rPr>
        <w:fldChar w:fldCharType="separate"/>
      </w:r>
      <w:r>
        <w:rPr>
          <w:rFonts w:ascii="Century Gothic" w:hAnsi="Century Gothic"/>
          <w:noProof/>
          <w:webHidden/>
          <w:sz w:val="18"/>
          <w:szCs w:val="18"/>
        </w:rPr>
        <w:t>11</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"_Toc82049047" </w:instrText>
      </w:r>
      <w:r>
        <w:rPr/>
        <w:fldChar w:fldCharType="separate"/>
      </w:r>
      <w:r>
        <w:rPr>
          <w:rStyle w:val="style85"/>
          <w:rFonts w:ascii="Century Gothic" w:hAnsi="Century Gothic"/>
          <w:noProof/>
          <w:sz w:val="18"/>
          <w:szCs w:val="18"/>
        </w:rPr>
        <w:t>4.1.2.1. Activités directement liées à la réduction des émissions de gaz à effet de serre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_Toc82049047 \h </w:instrText>
      </w:r>
      <w:r>
        <w:rPr>
          <w:rFonts w:ascii="Century Gothic" w:hAnsi="Century Gothic"/>
          <w:noProof/>
          <w:webHidden/>
          <w:sz w:val="18"/>
          <w:szCs w:val="18"/>
        </w:rPr>
        <w:fldChar w:fldCharType="separate"/>
      </w:r>
      <w:r>
        <w:rPr>
          <w:rFonts w:ascii="Century Gothic" w:hAnsi="Century Gothic"/>
          <w:noProof/>
          <w:webHidden/>
          <w:sz w:val="18"/>
          <w:szCs w:val="18"/>
        </w:rPr>
        <w:t>11</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"_Toc82049048" </w:instrText>
      </w:r>
      <w:r>
        <w:rPr/>
        <w:fldChar w:fldCharType="separate"/>
      </w:r>
      <w:r>
        <w:rPr>
          <w:rStyle w:val="style85"/>
          <w:rFonts w:ascii="Century Gothic" w:hAnsi="Century Gothic"/>
          <w:noProof/>
          <w:sz w:val="18"/>
          <w:szCs w:val="18"/>
        </w:rPr>
        <w:t>4.1.2.2 Activités induites d’amélioration des productivités et des revenus dans l’espace de conservation de Gonré</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_Toc82049048 \h </w:instrText>
      </w:r>
      <w:r>
        <w:rPr>
          <w:rFonts w:ascii="Century Gothic" w:hAnsi="Century Gothic"/>
          <w:noProof/>
          <w:webHidden/>
          <w:sz w:val="18"/>
          <w:szCs w:val="18"/>
        </w:rPr>
        <w:fldChar w:fldCharType="separate"/>
      </w:r>
      <w:r>
        <w:rPr>
          <w:rFonts w:ascii="Century Gothic" w:hAnsi="Century Gothic"/>
          <w:noProof/>
          <w:webHidden/>
          <w:sz w:val="18"/>
          <w:szCs w:val="18"/>
        </w:rPr>
        <w:t>15</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"_Toc82049049" </w:instrText>
      </w:r>
      <w:r>
        <w:rPr/>
        <w:fldChar w:fldCharType="separate"/>
      </w:r>
      <w:r>
        <w:rPr>
          <w:rStyle w:val="style85"/>
          <w:rFonts w:ascii="Century Gothic" w:hAnsi="Century Gothic"/>
          <w:noProof/>
          <w:sz w:val="18"/>
          <w:szCs w:val="18"/>
        </w:rPr>
        <w:t>4.2. Espace de conservation  Zecco (forêt communale)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_Toc82049049 \h </w:instrText>
      </w:r>
      <w:r>
        <w:rPr>
          <w:rFonts w:ascii="Century Gothic" w:hAnsi="Century Gothic"/>
          <w:noProof/>
          <w:webHidden/>
          <w:sz w:val="18"/>
          <w:szCs w:val="18"/>
        </w:rPr>
        <w:fldChar w:fldCharType="separate"/>
      </w:r>
      <w:r>
        <w:rPr>
          <w:rFonts w:ascii="Century Gothic" w:hAnsi="Century Gothic"/>
          <w:noProof/>
          <w:webHidden/>
          <w:sz w:val="18"/>
          <w:szCs w:val="18"/>
        </w:rPr>
        <w:t>20</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"_Toc82049050" </w:instrText>
      </w:r>
      <w:r>
        <w:rPr/>
        <w:fldChar w:fldCharType="separate"/>
      </w:r>
      <w:r>
        <w:rPr>
          <w:rStyle w:val="style85"/>
          <w:rFonts w:ascii="Century Gothic" w:hAnsi="Century Gothic"/>
          <w:noProof/>
          <w:sz w:val="18"/>
          <w:szCs w:val="18"/>
        </w:rPr>
        <w:t>4.2.1. Description de l’espace de conservation Zecco (forêt communale de Zecco)</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_Toc82049050 \h </w:instrText>
      </w:r>
      <w:r>
        <w:rPr>
          <w:rFonts w:ascii="Century Gothic" w:hAnsi="Century Gothic"/>
          <w:noProof/>
          <w:webHidden/>
          <w:sz w:val="18"/>
          <w:szCs w:val="18"/>
        </w:rPr>
        <w:fldChar w:fldCharType="separate"/>
      </w:r>
      <w:r>
        <w:rPr>
          <w:rFonts w:ascii="Century Gothic" w:hAnsi="Century Gothic"/>
          <w:noProof/>
          <w:webHidden/>
          <w:sz w:val="18"/>
          <w:szCs w:val="18"/>
        </w:rPr>
        <w:t>20</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"_Toc82049051" </w:instrText>
      </w:r>
      <w:r>
        <w:rPr/>
        <w:fldChar w:fldCharType="separate"/>
      </w:r>
      <w:r>
        <w:rPr>
          <w:rStyle w:val="style85"/>
          <w:rFonts w:ascii="Century Gothic" w:hAnsi="Century Gothic"/>
          <w:noProof/>
          <w:sz w:val="18"/>
          <w:szCs w:val="18"/>
        </w:rPr>
        <w:t>4.2.2. Description détaillée des activités du PDIC REDD + de l’espace de conservation Zecco (forêt communale de Zecco)</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_Toc82049051 \h </w:instrText>
      </w:r>
      <w:r>
        <w:rPr>
          <w:rFonts w:ascii="Century Gothic" w:hAnsi="Century Gothic"/>
          <w:noProof/>
          <w:webHidden/>
          <w:sz w:val="18"/>
          <w:szCs w:val="18"/>
        </w:rPr>
        <w:fldChar w:fldCharType="separate"/>
      </w:r>
      <w:r>
        <w:rPr>
          <w:rFonts w:ascii="Century Gothic" w:hAnsi="Century Gothic"/>
          <w:noProof/>
          <w:webHidden/>
          <w:sz w:val="18"/>
          <w:szCs w:val="18"/>
        </w:rPr>
        <w:t>21</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"_Toc82049052" </w:instrText>
      </w:r>
      <w:r>
        <w:rPr/>
        <w:fldChar w:fldCharType="separate"/>
      </w:r>
      <w:r>
        <w:rPr>
          <w:rStyle w:val="style85"/>
          <w:rFonts w:ascii="Century Gothic" w:hAnsi="Century Gothic"/>
          <w:noProof/>
          <w:sz w:val="18"/>
          <w:szCs w:val="18"/>
        </w:rPr>
        <w:t>4.2.2.1. Activités directement liées à la réduction des émissions de gaz à effet de serre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_Toc82049052 \h </w:instrText>
      </w:r>
      <w:r>
        <w:rPr>
          <w:rFonts w:ascii="Century Gothic" w:hAnsi="Century Gothic"/>
          <w:noProof/>
          <w:webHidden/>
          <w:sz w:val="18"/>
          <w:szCs w:val="18"/>
        </w:rPr>
        <w:fldChar w:fldCharType="separate"/>
      </w:r>
      <w:r>
        <w:rPr>
          <w:rFonts w:ascii="Century Gothic" w:hAnsi="Century Gothic"/>
          <w:noProof/>
          <w:webHidden/>
          <w:sz w:val="18"/>
          <w:szCs w:val="18"/>
        </w:rPr>
        <w:t>21</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"_Toc82049053" </w:instrText>
      </w:r>
      <w:r>
        <w:rPr/>
        <w:fldChar w:fldCharType="separate"/>
      </w:r>
      <w:r>
        <w:rPr>
          <w:rStyle w:val="style85"/>
          <w:rFonts w:ascii="Century Gothic" w:hAnsi="Century Gothic"/>
          <w:noProof/>
          <w:sz w:val="18"/>
          <w:szCs w:val="18"/>
        </w:rPr>
        <w:t>4.2.2.2 Activités induites d’amélioration des productivités et des revenus dans l’espace de conservation de de la forêt communale de Zecco</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_Toc82049053 \h </w:instrText>
      </w:r>
      <w:r>
        <w:rPr>
          <w:rFonts w:ascii="Century Gothic" w:hAnsi="Century Gothic"/>
          <w:noProof/>
          <w:webHidden/>
          <w:sz w:val="18"/>
          <w:szCs w:val="18"/>
        </w:rPr>
        <w:fldChar w:fldCharType="separate"/>
      </w:r>
      <w:r>
        <w:rPr>
          <w:rFonts w:ascii="Century Gothic" w:hAnsi="Century Gothic"/>
          <w:noProof/>
          <w:webHidden/>
          <w:sz w:val="18"/>
          <w:szCs w:val="18"/>
        </w:rPr>
        <w:t>24</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"_Toc82049054" </w:instrText>
      </w:r>
      <w:r>
        <w:rPr/>
        <w:fldChar w:fldCharType="separate"/>
      </w:r>
      <w:r>
        <w:rPr>
          <w:rStyle w:val="style85"/>
          <w:rFonts w:ascii="Century Gothic" w:hAnsi="Century Gothic"/>
          <w:noProof/>
          <w:sz w:val="18"/>
          <w:szCs w:val="18"/>
        </w:rPr>
        <w:t>4.3. Espace de conservation de la forêt sacrée de Baré</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_Toc82049054 \h </w:instrText>
      </w:r>
      <w:r>
        <w:rPr>
          <w:rFonts w:ascii="Century Gothic" w:hAnsi="Century Gothic"/>
          <w:noProof/>
          <w:webHidden/>
          <w:sz w:val="18"/>
          <w:szCs w:val="18"/>
        </w:rPr>
        <w:fldChar w:fldCharType="separate"/>
      </w:r>
      <w:r>
        <w:rPr>
          <w:rFonts w:ascii="Century Gothic" w:hAnsi="Century Gothic"/>
          <w:noProof/>
          <w:webHidden/>
          <w:sz w:val="18"/>
          <w:szCs w:val="18"/>
        </w:rPr>
        <w:t>28</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"_Toc82049055" </w:instrText>
      </w:r>
      <w:r>
        <w:rPr/>
        <w:fldChar w:fldCharType="separate"/>
      </w:r>
      <w:r>
        <w:rPr>
          <w:rStyle w:val="style85"/>
          <w:rFonts w:ascii="Century Gothic" w:hAnsi="Century Gothic"/>
          <w:noProof/>
          <w:sz w:val="18"/>
          <w:szCs w:val="18"/>
        </w:rPr>
        <w:t>4.3.1. Description de la forêt villageoise de Baré (forêt sacrée)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_Toc82049055 \h </w:instrText>
      </w:r>
      <w:r>
        <w:rPr>
          <w:rFonts w:ascii="Century Gothic" w:hAnsi="Century Gothic"/>
          <w:noProof/>
          <w:webHidden/>
          <w:sz w:val="18"/>
          <w:szCs w:val="18"/>
        </w:rPr>
        <w:fldChar w:fldCharType="separate"/>
      </w:r>
      <w:r>
        <w:rPr>
          <w:rFonts w:ascii="Century Gothic" w:hAnsi="Century Gothic"/>
          <w:noProof/>
          <w:webHidden/>
          <w:sz w:val="18"/>
          <w:szCs w:val="18"/>
        </w:rPr>
        <w:t>28</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"_Toc82049056" </w:instrText>
      </w:r>
      <w:r>
        <w:rPr/>
        <w:fldChar w:fldCharType="separate"/>
      </w:r>
      <w:r>
        <w:rPr>
          <w:rStyle w:val="style85"/>
          <w:rFonts w:ascii="Century Gothic" w:hAnsi="Century Gothic"/>
          <w:noProof/>
          <w:sz w:val="18"/>
          <w:szCs w:val="18"/>
        </w:rPr>
        <w:t>4.3.2. Activités induites d’amélioration des productivités et des revenus dans l’espace de conservation de Baré (forêt villageoise)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_Toc82049056 \h </w:instrText>
      </w:r>
      <w:r>
        <w:rPr>
          <w:rFonts w:ascii="Century Gothic" w:hAnsi="Century Gothic"/>
          <w:noProof/>
          <w:webHidden/>
          <w:sz w:val="18"/>
          <w:szCs w:val="18"/>
        </w:rPr>
        <w:fldChar w:fldCharType="separate"/>
      </w:r>
      <w:r>
        <w:rPr>
          <w:rFonts w:ascii="Century Gothic" w:hAnsi="Century Gothic"/>
          <w:noProof/>
          <w:webHidden/>
          <w:sz w:val="18"/>
          <w:szCs w:val="18"/>
        </w:rPr>
        <w:t>28</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"_Toc82049057" </w:instrText>
      </w:r>
      <w:r>
        <w:rPr/>
        <w:fldChar w:fldCharType="separate"/>
      </w:r>
      <w:r>
        <w:rPr>
          <w:rStyle w:val="style85"/>
          <w:rFonts w:ascii="Century Gothic" w:hAnsi="Century Gothic"/>
          <w:noProof/>
          <w:sz w:val="18"/>
          <w:szCs w:val="18"/>
        </w:rPr>
        <w:t>4.4. Le suivi évaluation et la capitalisation du PDIC/REDD+ de Zecco</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_Toc82049057 \h </w:instrText>
      </w:r>
      <w:r>
        <w:rPr>
          <w:rFonts w:ascii="Century Gothic" w:hAnsi="Century Gothic"/>
          <w:noProof/>
          <w:webHidden/>
          <w:sz w:val="18"/>
          <w:szCs w:val="18"/>
        </w:rPr>
        <w:fldChar w:fldCharType="separate"/>
      </w:r>
      <w:r>
        <w:rPr>
          <w:rFonts w:ascii="Century Gothic" w:hAnsi="Century Gothic"/>
          <w:noProof/>
          <w:webHidden/>
          <w:sz w:val="18"/>
          <w:szCs w:val="18"/>
        </w:rPr>
        <w:t>29</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"_Toc82049058" </w:instrText>
      </w:r>
      <w:r>
        <w:rPr/>
        <w:fldChar w:fldCharType="separate"/>
      </w:r>
      <w:r>
        <w:rPr>
          <w:rStyle w:val="style85"/>
          <w:rFonts w:ascii="Century Gothic" w:hAnsi="Century Gothic"/>
          <w:noProof/>
          <w:sz w:val="18"/>
          <w:szCs w:val="18"/>
        </w:rPr>
        <w:t>4.5. Budget détaillé du PDIC REDD+</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_Toc82049058 \h </w:instrText>
      </w:r>
      <w:r>
        <w:rPr>
          <w:rFonts w:ascii="Century Gothic" w:hAnsi="Century Gothic"/>
          <w:noProof/>
          <w:webHidden/>
          <w:sz w:val="18"/>
          <w:szCs w:val="18"/>
        </w:rPr>
        <w:fldChar w:fldCharType="separate"/>
      </w:r>
      <w:r>
        <w:rPr>
          <w:rFonts w:ascii="Century Gothic" w:hAnsi="Century Gothic"/>
          <w:noProof/>
          <w:webHidden/>
          <w:sz w:val="18"/>
          <w:szCs w:val="18"/>
        </w:rPr>
        <w:t>31</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"_Toc82049059" </w:instrText>
      </w:r>
      <w:r>
        <w:rPr/>
        <w:fldChar w:fldCharType="separate"/>
      </w:r>
      <w:r>
        <w:rPr>
          <w:rStyle w:val="style85"/>
          <w:rFonts w:ascii="Century Gothic" w:hAnsi="Century Gothic"/>
          <w:noProof/>
          <w:sz w:val="18"/>
          <w:szCs w:val="18"/>
        </w:rPr>
        <w:t>4.6. Cadre logique du PDIC REDD+</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_Toc82049059 \h </w:instrText>
      </w:r>
      <w:r>
        <w:rPr>
          <w:rFonts w:ascii="Century Gothic" w:hAnsi="Century Gothic"/>
          <w:noProof/>
          <w:webHidden/>
          <w:sz w:val="18"/>
          <w:szCs w:val="18"/>
        </w:rPr>
        <w:fldChar w:fldCharType="separate"/>
      </w:r>
      <w:r>
        <w:rPr>
          <w:rFonts w:ascii="Century Gothic" w:hAnsi="Century Gothic"/>
          <w:noProof/>
          <w:webHidden/>
          <w:sz w:val="18"/>
          <w:szCs w:val="18"/>
        </w:rPr>
        <w:t>41</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"_Toc82049060" </w:instrText>
      </w:r>
      <w:r>
        <w:rPr/>
        <w:fldChar w:fldCharType="separate"/>
      </w:r>
      <w:r>
        <w:rPr>
          <w:rStyle w:val="style85"/>
          <w:rFonts w:ascii="Century Gothic" w:hAnsi="Century Gothic"/>
          <w:noProof/>
          <w:sz w:val="18"/>
          <w:szCs w:val="18"/>
        </w:rPr>
        <w:t>4.7 Synthèse des activités par espace de conservation</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_Toc82049060 \h </w:instrText>
      </w:r>
      <w:r>
        <w:rPr>
          <w:rFonts w:ascii="Century Gothic" w:hAnsi="Century Gothic"/>
          <w:noProof/>
          <w:webHidden/>
          <w:sz w:val="18"/>
          <w:szCs w:val="18"/>
        </w:rPr>
        <w:fldChar w:fldCharType="separate"/>
      </w:r>
      <w:r>
        <w:rPr>
          <w:rFonts w:ascii="Century Gothic" w:hAnsi="Century Gothic"/>
          <w:noProof/>
          <w:webHidden/>
          <w:sz w:val="18"/>
          <w:szCs w:val="18"/>
        </w:rPr>
        <w:t>49</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"_Toc82049061" </w:instrText>
      </w:r>
      <w:r>
        <w:rPr/>
        <w:fldChar w:fldCharType="separate"/>
      </w:r>
      <w:r>
        <w:rPr>
          <w:rStyle w:val="style85"/>
          <w:rFonts w:ascii="Century Gothic" w:hAnsi="Century Gothic"/>
          <w:noProof/>
          <w:sz w:val="18"/>
          <w:szCs w:val="18"/>
        </w:rPr>
        <w:t>4.8. Carte de localisation des investissements du PDIC/ REDD +  par site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_Toc82049061 \h </w:instrText>
      </w:r>
      <w:r>
        <w:rPr>
          <w:rFonts w:ascii="Century Gothic" w:hAnsi="Century Gothic"/>
          <w:noProof/>
          <w:webHidden/>
          <w:sz w:val="18"/>
          <w:szCs w:val="18"/>
        </w:rPr>
        <w:fldChar w:fldCharType="separate"/>
      </w:r>
      <w:r>
        <w:rPr>
          <w:rFonts w:ascii="Century Gothic" w:hAnsi="Century Gothic"/>
          <w:noProof/>
          <w:webHidden/>
          <w:sz w:val="18"/>
          <w:szCs w:val="18"/>
        </w:rPr>
        <w:t>53</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"_Toc82049062" </w:instrText>
      </w:r>
      <w:r>
        <w:rPr/>
        <w:fldChar w:fldCharType="separate"/>
      </w:r>
      <w:r>
        <w:rPr>
          <w:rStyle w:val="style85"/>
          <w:rFonts w:ascii="Century Gothic" w:hAnsi="Century Gothic"/>
          <w:noProof/>
          <w:sz w:val="18"/>
          <w:szCs w:val="18"/>
        </w:rPr>
        <w:t>V. Résultats attendus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_Toc82049062 \h </w:instrText>
      </w:r>
      <w:r>
        <w:rPr>
          <w:rFonts w:ascii="Century Gothic" w:hAnsi="Century Gothic"/>
          <w:noProof/>
          <w:webHidden/>
          <w:sz w:val="18"/>
          <w:szCs w:val="18"/>
        </w:rPr>
        <w:fldChar w:fldCharType="separate"/>
      </w:r>
      <w:r>
        <w:rPr>
          <w:rFonts w:ascii="Century Gothic" w:hAnsi="Century Gothic"/>
          <w:noProof/>
          <w:webHidden/>
          <w:sz w:val="18"/>
          <w:szCs w:val="18"/>
        </w:rPr>
        <w:t>56</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"_Toc82049063" </w:instrText>
      </w:r>
      <w:r>
        <w:rPr/>
        <w:fldChar w:fldCharType="separate"/>
      </w:r>
      <w:r>
        <w:rPr>
          <w:rStyle w:val="style85"/>
          <w:rFonts w:ascii="Century Gothic" w:hAnsi="Century Gothic"/>
          <w:noProof/>
          <w:sz w:val="18"/>
          <w:szCs w:val="18"/>
        </w:rPr>
        <w:t>5.1  Résultats attendus en termes de bénéficiaires (directs et indirects) impactés par chacune des activités du PDIC REDD+</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_Toc82049063 \h </w:instrText>
      </w:r>
      <w:r>
        <w:rPr>
          <w:rFonts w:ascii="Century Gothic" w:hAnsi="Century Gothic"/>
          <w:noProof/>
          <w:webHidden/>
          <w:sz w:val="18"/>
          <w:szCs w:val="18"/>
        </w:rPr>
        <w:fldChar w:fldCharType="separate"/>
      </w:r>
      <w:r>
        <w:rPr>
          <w:rFonts w:ascii="Century Gothic" w:hAnsi="Century Gothic"/>
          <w:noProof/>
          <w:webHidden/>
          <w:sz w:val="18"/>
          <w:szCs w:val="18"/>
        </w:rPr>
        <w:t>56</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"_Toc82049064" </w:instrText>
      </w:r>
      <w:r>
        <w:rPr/>
        <w:fldChar w:fldCharType="separate"/>
      </w:r>
      <w:r>
        <w:rPr>
          <w:rStyle w:val="style85"/>
          <w:rFonts w:ascii="Century Gothic" w:hAnsi="Century Gothic"/>
          <w:noProof/>
          <w:sz w:val="18"/>
          <w:szCs w:val="18"/>
        </w:rPr>
        <w:t>5.2 Résultats attendus en termes de séquestration de carbone pour chacune des activités du PDIC</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_Toc82049064 \h </w:instrText>
      </w:r>
      <w:r>
        <w:rPr>
          <w:rFonts w:ascii="Century Gothic" w:hAnsi="Century Gothic"/>
          <w:noProof/>
          <w:webHidden/>
          <w:sz w:val="18"/>
          <w:szCs w:val="18"/>
        </w:rPr>
        <w:fldChar w:fldCharType="separate"/>
      </w:r>
      <w:r>
        <w:rPr>
          <w:rFonts w:ascii="Century Gothic" w:hAnsi="Century Gothic"/>
          <w:noProof/>
          <w:webHidden/>
          <w:sz w:val="18"/>
          <w:szCs w:val="18"/>
        </w:rPr>
        <w:t>60</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"_Toc82049065" </w:instrText>
      </w:r>
      <w:r>
        <w:rPr/>
        <w:fldChar w:fldCharType="separate"/>
      </w:r>
      <w:r>
        <w:rPr>
          <w:rStyle w:val="style85"/>
          <w:rFonts w:ascii="Century Gothic" w:hAnsi="Century Gothic"/>
          <w:noProof/>
          <w:sz w:val="18"/>
          <w:szCs w:val="18"/>
        </w:rPr>
        <w:t>5.3  résultats attendus en termes de co-bénéfices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_Toc82049065 \h </w:instrText>
      </w:r>
      <w:r>
        <w:rPr>
          <w:rFonts w:ascii="Century Gothic" w:hAnsi="Century Gothic"/>
          <w:noProof/>
          <w:webHidden/>
          <w:sz w:val="18"/>
          <w:szCs w:val="18"/>
        </w:rPr>
        <w:fldChar w:fldCharType="separate"/>
      </w:r>
      <w:r>
        <w:rPr>
          <w:rFonts w:ascii="Century Gothic" w:hAnsi="Century Gothic"/>
          <w:noProof/>
          <w:webHidden/>
          <w:sz w:val="18"/>
          <w:szCs w:val="18"/>
        </w:rPr>
        <w:t>62</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"_Toc82049066" </w:instrText>
      </w:r>
      <w:r>
        <w:rPr/>
        <w:fldChar w:fldCharType="separate"/>
      </w:r>
      <w:r>
        <w:rPr>
          <w:rStyle w:val="style85"/>
          <w:rFonts w:ascii="Century Gothic" w:hAnsi="Century Gothic"/>
          <w:noProof/>
          <w:sz w:val="18"/>
          <w:szCs w:val="18"/>
        </w:rPr>
        <w:t>5.3.1. Au niveau environnemental</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_Toc82049066 \h </w:instrText>
      </w:r>
      <w:r>
        <w:rPr>
          <w:rFonts w:ascii="Century Gothic" w:hAnsi="Century Gothic"/>
          <w:noProof/>
          <w:webHidden/>
          <w:sz w:val="18"/>
          <w:szCs w:val="18"/>
        </w:rPr>
        <w:fldChar w:fldCharType="separate"/>
      </w:r>
      <w:r>
        <w:rPr>
          <w:rFonts w:ascii="Century Gothic" w:hAnsi="Century Gothic"/>
          <w:noProof/>
          <w:webHidden/>
          <w:sz w:val="18"/>
          <w:szCs w:val="18"/>
        </w:rPr>
        <w:t>62</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"_Toc82049067" </w:instrText>
      </w:r>
      <w:r>
        <w:rPr/>
        <w:fldChar w:fldCharType="separate"/>
      </w:r>
      <w:r>
        <w:rPr>
          <w:rStyle w:val="style85"/>
          <w:rFonts w:ascii="Century Gothic" w:hAnsi="Century Gothic"/>
          <w:noProof/>
          <w:sz w:val="18"/>
          <w:szCs w:val="18"/>
        </w:rPr>
        <w:t>5.3.2. Au niveau socioéconomique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_Toc82049067 \h </w:instrText>
      </w:r>
      <w:r>
        <w:rPr>
          <w:rFonts w:ascii="Century Gothic" w:hAnsi="Century Gothic"/>
          <w:noProof/>
          <w:webHidden/>
          <w:sz w:val="18"/>
          <w:szCs w:val="18"/>
        </w:rPr>
        <w:fldChar w:fldCharType="separate"/>
      </w:r>
      <w:r>
        <w:rPr>
          <w:rFonts w:ascii="Century Gothic" w:hAnsi="Century Gothic"/>
          <w:noProof/>
          <w:webHidden/>
          <w:sz w:val="18"/>
          <w:szCs w:val="18"/>
        </w:rPr>
        <w:t>62</w:t>
      </w:r>
      <w:r>
        <w:rPr>
          <w:rFonts w:ascii="Century Gothic" w:hAnsi="Century Gothic"/>
          <w:noProof/>
          <w:webHidden/>
          <w:sz w:val="18"/>
          <w:szCs w:val="18"/>
        </w:rPr>
        <w:fldChar w:fldCharType="end"/>
      </w:r>
      <w:r>
        <w:rPr/>
        <w:fldChar w:fldCharType="end"/>
      </w:r>
    </w:p>
    <w:p>
      <w:pPr>
        <w:pStyle w:val="style21"/>
        <w:tabs>
          <w:tab w:val="right" w:leader="dot" w:pos="9642"/>
        </w:tabs>
        <w:ind w:left="0"/>
        <w:rPr>
          <w:rFonts w:ascii="Century Gothic" w:cs="宋体" w:eastAsia="宋体" w:hAnsi="Century Gothic"/>
          <w:noProof/>
          <w:sz w:val="18"/>
          <w:szCs w:val="18"/>
        </w:rPr>
      </w:pPr>
      <w:r>
        <w:rPr/>
        <w:fldChar w:fldCharType="begin"/>
      </w:r>
      <w:r>
        <w:instrText xml:space="preserve"> HYPERLINK \l "_Toc82049068" </w:instrText>
      </w:r>
      <w:r>
        <w:rPr/>
        <w:fldChar w:fldCharType="separate"/>
      </w:r>
      <w:r>
        <w:rPr>
          <w:rStyle w:val="style85"/>
          <w:rFonts w:ascii="Century Gothic" w:hAnsi="Century Gothic"/>
          <w:noProof/>
          <w:sz w:val="18"/>
          <w:szCs w:val="18"/>
        </w:rPr>
        <w:t>5.3.3. Au niveau institutionnel</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_Toc82049068 \h </w:instrText>
      </w:r>
      <w:r>
        <w:rPr>
          <w:rFonts w:ascii="Century Gothic" w:hAnsi="Century Gothic"/>
          <w:noProof/>
          <w:webHidden/>
          <w:sz w:val="18"/>
          <w:szCs w:val="18"/>
        </w:rPr>
        <w:fldChar w:fldCharType="separate"/>
      </w:r>
      <w:r>
        <w:rPr>
          <w:rFonts w:ascii="Century Gothic" w:hAnsi="Century Gothic"/>
          <w:noProof/>
          <w:webHidden/>
          <w:sz w:val="18"/>
          <w:szCs w:val="18"/>
        </w:rPr>
        <w:t>63</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"_Toc82049069" </w:instrText>
      </w:r>
      <w:r>
        <w:rPr/>
        <w:fldChar w:fldCharType="separate"/>
      </w:r>
      <w:r>
        <w:rPr>
          <w:rStyle w:val="style85"/>
          <w:rFonts w:ascii="Century Gothic" w:hAnsi="Century Gothic"/>
          <w:noProof/>
          <w:sz w:val="18"/>
          <w:szCs w:val="18"/>
        </w:rPr>
        <w:t>VI. Principaux risques dans la mise en œuvre des PDIC/REDD+</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_Toc82049069 \h </w:instrText>
      </w:r>
      <w:r>
        <w:rPr>
          <w:rFonts w:ascii="Century Gothic" w:hAnsi="Century Gothic"/>
          <w:noProof/>
          <w:webHidden/>
          <w:sz w:val="18"/>
          <w:szCs w:val="18"/>
        </w:rPr>
        <w:fldChar w:fldCharType="separate"/>
      </w:r>
      <w:r>
        <w:rPr>
          <w:rFonts w:ascii="Century Gothic" w:hAnsi="Century Gothic"/>
          <w:noProof/>
          <w:webHidden/>
          <w:sz w:val="18"/>
          <w:szCs w:val="18"/>
        </w:rPr>
        <w:t>63</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"_Toc82049070" </w:instrText>
      </w:r>
      <w:r>
        <w:rPr/>
        <w:fldChar w:fldCharType="separate"/>
      </w:r>
      <w:r>
        <w:rPr>
          <w:rStyle w:val="style85"/>
          <w:rFonts w:ascii="Century Gothic" w:hAnsi="Century Gothic"/>
          <w:noProof/>
          <w:sz w:val="18"/>
          <w:szCs w:val="18"/>
        </w:rPr>
        <w:t>6.1. Au niveau environnemental</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_Toc82049070 \h </w:instrText>
      </w:r>
      <w:r>
        <w:rPr>
          <w:rFonts w:ascii="Century Gothic" w:hAnsi="Century Gothic"/>
          <w:noProof/>
          <w:webHidden/>
          <w:sz w:val="18"/>
          <w:szCs w:val="18"/>
        </w:rPr>
        <w:fldChar w:fldCharType="separate"/>
      </w:r>
      <w:r>
        <w:rPr>
          <w:rFonts w:ascii="Century Gothic" w:hAnsi="Century Gothic"/>
          <w:noProof/>
          <w:webHidden/>
          <w:sz w:val="18"/>
          <w:szCs w:val="18"/>
        </w:rPr>
        <w:t>63</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"_Toc82049071" </w:instrText>
      </w:r>
      <w:r>
        <w:rPr/>
        <w:fldChar w:fldCharType="separate"/>
      </w:r>
      <w:r>
        <w:rPr>
          <w:rStyle w:val="style85"/>
          <w:rFonts w:ascii="Century Gothic" w:hAnsi="Century Gothic"/>
          <w:noProof/>
          <w:sz w:val="18"/>
          <w:szCs w:val="18"/>
        </w:rPr>
        <w:t>6.2. Au niveau socioéconomique</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_Toc82049071 \h </w:instrText>
      </w:r>
      <w:r>
        <w:rPr>
          <w:rFonts w:ascii="Century Gothic" w:hAnsi="Century Gothic"/>
          <w:noProof/>
          <w:webHidden/>
          <w:sz w:val="18"/>
          <w:szCs w:val="18"/>
        </w:rPr>
        <w:fldChar w:fldCharType="separate"/>
      </w:r>
      <w:r>
        <w:rPr>
          <w:rFonts w:ascii="Century Gothic" w:hAnsi="Century Gothic"/>
          <w:noProof/>
          <w:webHidden/>
          <w:sz w:val="18"/>
          <w:szCs w:val="18"/>
        </w:rPr>
        <w:t>64</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"_Toc82049072" </w:instrText>
      </w:r>
      <w:r>
        <w:rPr/>
        <w:fldChar w:fldCharType="separate"/>
      </w:r>
      <w:r>
        <w:rPr>
          <w:rStyle w:val="style85"/>
          <w:rFonts w:ascii="Century Gothic" w:hAnsi="Century Gothic"/>
          <w:noProof/>
          <w:sz w:val="18"/>
          <w:szCs w:val="18"/>
        </w:rPr>
        <w:t>6.3. Au niveau institutionnel</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_Toc82049072 \h </w:instrText>
      </w:r>
      <w:r>
        <w:rPr>
          <w:rFonts w:ascii="Century Gothic" w:hAnsi="Century Gothic"/>
          <w:noProof/>
          <w:webHidden/>
          <w:sz w:val="18"/>
          <w:szCs w:val="18"/>
        </w:rPr>
        <w:fldChar w:fldCharType="separate"/>
      </w:r>
      <w:r>
        <w:rPr>
          <w:rFonts w:ascii="Century Gothic" w:hAnsi="Century Gothic"/>
          <w:noProof/>
          <w:webHidden/>
          <w:sz w:val="18"/>
          <w:szCs w:val="18"/>
        </w:rPr>
        <w:t>64</w:t>
      </w:r>
      <w:r>
        <w:rPr>
          <w:rFonts w:ascii="Century Gothic" w:hAnsi="Century Gothic"/>
          <w:noProof/>
          <w:webHidden/>
          <w:sz w:val="18"/>
          <w:szCs w:val="18"/>
        </w:rPr>
        <w:fldChar w:fldCharType="end"/>
      </w:r>
      <w:r>
        <w:rPr/>
        <w:fldChar w:fldCharType="end"/>
      </w:r>
    </w:p>
    <w:p>
      <w:pPr>
        <w:pStyle w:val="style19"/>
        <w:rPr>
          <w:rFonts w:ascii="Century Gothic" w:cs="宋体" w:eastAsia="宋体" w:hAnsi="Century Gothic"/>
          <w:noProof/>
          <w:sz w:val="18"/>
          <w:szCs w:val="18"/>
        </w:rPr>
      </w:pPr>
      <w:r>
        <w:rPr/>
        <w:fldChar w:fldCharType="begin"/>
      </w:r>
      <w:r>
        <w:instrText xml:space="preserve"> HYPERLINK \l "_Toc82049073" </w:instrText>
      </w:r>
      <w:r>
        <w:rPr/>
        <w:fldChar w:fldCharType="separate"/>
      </w:r>
      <w:r>
        <w:rPr>
          <w:rStyle w:val="style85"/>
          <w:rFonts w:ascii="Century Gothic" w:hAnsi="Century Gothic"/>
          <w:noProof/>
          <w:sz w:val="18"/>
          <w:szCs w:val="18"/>
        </w:rPr>
        <w:t>ANNEXES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_Toc82049073 \h </w:instrText>
      </w:r>
      <w:r>
        <w:rPr>
          <w:rFonts w:ascii="Century Gothic" w:hAnsi="Century Gothic"/>
          <w:noProof/>
          <w:webHidden/>
          <w:sz w:val="18"/>
          <w:szCs w:val="18"/>
        </w:rPr>
        <w:fldChar w:fldCharType="separate"/>
      </w:r>
      <w:r>
        <w:rPr>
          <w:rFonts w:ascii="Century Gothic" w:hAnsi="Century Gothic"/>
          <w:noProof/>
          <w:webHidden/>
          <w:sz w:val="18"/>
          <w:szCs w:val="18"/>
        </w:rPr>
        <w:t>I</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"_Toc82049074" </w:instrText>
      </w:r>
      <w:r>
        <w:rPr/>
        <w:fldChar w:fldCharType="separate"/>
      </w:r>
      <w:r>
        <w:rPr>
          <w:rStyle w:val="style85"/>
          <w:rFonts w:ascii="Century Gothic" w:hAnsi="Century Gothic"/>
          <w:noProof/>
          <w:sz w:val="18"/>
          <w:szCs w:val="18"/>
        </w:rPr>
        <w:t>Annexe 1 : Chronogramme indicatif détaillé des activités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_Toc82049074 \h </w:instrText>
      </w:r>
      <w:r>
        <w:rPr>
          <w:rFonts w:ascii="Century Gothic" w:hAnsi="Century Gothic"/>
          <w:noProof/>
          <w:webHidden/>
          <w:sz w:val="18"/>
          <w:szCs w:val="18"/>
        </w:rPr>
        <w:fldChar w:fldCharType="separate"/>
      </w:r>
      <w:r>
        <w:rPr>
          <w:rFonts w:ascii="Century Gothic" w:hAnsi="Century Gothic"/>
          <w:noProof/>
          <w:webHidden/>
          <w:sz w:val="18"/>
          <w:szCs w:val="18"/>
        </w:rPr>
        <w:t>II</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"_Toc82049075" </w:instrText>
      </w:r>
      <w:r>
        <w:rPr/>
        <w:fldChar w:fldCharType="separate"/>
      </w:r>
      <w:r>
        <w:rPr>
          <w:rStyle w:val="style85"/>
          <w:rFonts w:ascii="Century Gothic" w:hAnsi="Century Gothic"/>
          <w:noProof/>
          <w:sz w:val="18"/>
          <w:szCs w:val="18"/>
        </w:rPr>
        <w:t>Annexe  2 : Listes et contacts des personnes et structures rencontrées</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_Toc82049075 \h </w:instrText>
      </w:r>
      <w:r>
        <w:rPr>
          <w:rFonts w:ascii="Century Gothic" w:hAnsi="Century Gothic"/>
          <w:noProof/>
          <w:webHidden/>
          <w:sz w:val="18"/>
          <w:szCs w:val="18"/>
        </w:rPr>
        <w:fldChar w:fldCharType="separate"/>
      </w:r>
      <w:r>
        <w:rPr>
          <w:rFonts w:ascii="Century Gothic" w:hAnsi="Century Gothic"/>
          <w:noProof/>
          <w:webHidden/>
          <w:sz w:val="18"/>
          <w:szCs w:val="18"/>
        </w:rPr>
        <w:t>V</w:t>
      </w:r>
      <w:r>
        <w:rPr>
          <w:rFonts w:ascii="Century Gothic" w:hAnsi="Century Gothic"/>
          <w:noProof/>
          <w:webHidden/>
          <w:sz w:val="18"/>
          <w:szCs w:val="18"/>
        </w:rPr>
        <w:fldChar w:fldCharType="end"/>
      </w:r>
      <w:r>
        <w:rPr/>
        <w:fldChar w:fldCharType="end"/>
      </w:r>
    </w:p>
    <w:p>
      <w:pPr>
        <w:pStyle w:val="style20"/>
        <w:tabs>
          <w:tab w:val="right" w:leader="dot" w:pos="9642"/>
        </w:tabs>
        <w:ind w:left="0"/>
        <w:rPr>
          <w:rFonts w:ascii="Century Gothic" w:cs="宋体" w:eastAsia="宋体" w:hAnsi="Century Gothic"/>
          <w:noProof/>
          <w:sz w:val="18"/>
          <w:szCs w:val="18"/>
        </w:rPr>
      </w:pPr>
      <w:r>
        <w:rPr/>
        <w:fldChar w:fldCharType="begin"/>
      </w:r>
      <w:r>
        <w:instrText xml:space="preserve"> HYPERLINK \l "_Toc82049076" </w:instrText>
      </w:r>
      <w:r>
        <w:rPr/>
        <w:fldChar w:fldCharType="separate"/>
      </w:r>
      <w:r>
        <w:rPr>
          <w:rStyle w:val="style85"/>
          <w:rFonts w:ascii="Century Gothic" w:hAnsi="Century Gothic"/>
          <w:noProof/>
          <w:sz w:val="18"/>
          <w:szCs w:val="18"/>
        </w:rPr>
        <w:t>Annexe  3 : Quelques photos du processus d’élaboration du PDIC/REDD+ de Zecco</w:t>
      </w:r>
      <w:r>
        <w:rPr>
          <w:rFonts w:ascii="Century Gothic" w:hAnsi="Century Gothic"/>
          <w:noProof/>
          <w:webHidden/>
          <w:sz w:val="18"/>
          <w:szCs w:val="18"/>
        </w:rPr>
        <w:tab/>
      </w:r>
      <w:r>
        <w:rPr>
          <w:rFonts w:ascii="Century Gothic" w:hAnsi="Century Gothic"/>
          <w:noProof/>
          <w:webHidden/>
          <w:sz w:val="18"/>
          <w:szCs w:val="18"/>
        </w:rPr>
        <w:fldChar w:fldCharType="begin"/>
      </w:r>
      <w:r>
        <w:rPr>
          <w:rFonts w:ascii="Century Gothic" w:hAnsi="Century Gothic"/>
          <w:noProof/>
          <w:webHidden/>
          <w:sz w:val="18"/>
          <w:szCs w:val="18"/>
        </w:rPr>
        <w:instrText xml:space="preserve"> PAGEREF _Toc82049076 \h </w:instrText>
      </w:r>
      <w:r>
        <w:rPr>
          <w:rFonts w:ascii="Century Gothic" w:hAnsi="Century Gothic"/>
          <w:noProof/>
          <w:webHidden/>
          <w:sz w:val="18"/>
          <w:szCs w:val="18"/>
        </w:rPr>
        <w:fldChar w:fldCharType="separate"/>
      </w:r>
      <w:r>
        <w:rPr>
          <w:rFonts w:ascii="Century Gothic" w:hAnsi="Century Gothic"/>
          <w:noProof/>
          <w:webHidden/>
          <w:sz w:val="18"/>
          <w:szCs w:val="18"/>
        </w:rPr>
        <w:t>VI</w:t>
      </w:r>
      <w:r>
        <w:rPr>
          <w:rFonts w:ascii="Century Gothic" w:hAnsi="Century Gothic"/>
          <w:noProof/>
          <w:webHidden/>
          <w:sz w:val="18"/>
          <w:szCs w:val="18"/>
        </w:rPr>
        <w:fldChar w:fldCharType="end"/>
      </w:r>
      <w:r>
        <w:rPr/>
        <w:fldChar w:fldCharType="end"/>
      </w:r>
    </w:p>
    <w:p>
      <w:pPr>
        <w:pStyle w:val="style0"/>
        <w:tabs>
          <w:tab w:val="left" w:leader="none" w:pos="9214"/>
          <w:tab w:val="left" w:leader="none" w:pos="9639"/>
        </w:tabs>
        <w:rPr>
          <w:rFonts w:ascii="Century Gothic" w:hAnsi="Century Gothic"/>
        </w:rPr>
      </w:pPr>
      <w:r>
        <w:rPr>
          <w:rFonts w:ascii="Century Gothic" w:hAnsi="Century Gothic"/>
          <w:b/>
          <w:bCs/>
          <w:sz w:val="18"/>
          <w:szCs w:val="18"/>
        </w:rPr>
        <w:fldChar w:fldCharType="end"/>
      </w:r>
    </w:p>
    <w:bookmarkStart w:id="1" w:name="_Toc82049035"/>
    <w:bookmarkStart w:id="2" w:name="_Toc512421908"/>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Liste des tableaux</w:t>
      </w:r>
      <w:bookmarkEnd w:id="1"/>
    </w:p>
    <w:p>
      <w:pPr>
        <w:pStyle w:val="style35"/>
        <w:tabs>
          <w:tab w:val="right" w:leader="dot" w:pos="9642"/>
        </w:tabs>
        <w:rPr>
          <w:rFonts w:ascii="Calibri" w:cs="宋体" w:eastAsia="宋体" w:hAnsi="Calibri"/>
          <w:noProof/>
          <w:sz w:val="22"/>
          <w:szCs w:val="22"/>
        </w:rPr>
      </w:pPr>
      <w:r>
        <w:rPr>
          <w:rFonts w:ascii="Century Gothic" w:hAnsi="Century Gothic"/>
        </w:rPr>
        <w:fldChar w:fldCharType="begin"/>
      </w:r>
      <w:r>
        <w:rPr>
          <w:rFonts w:ascii="Century Gothic" w:hAnsi="Century Gothic"/>
        </w:rPr>
        <w:instrText xml:space="preserve"> TOC \h \z \c "Tableau" </w:instrText>
      </w:r>
      <w:r>
        <w:rPr>
          <w:rFonts w:ascii="Century Gothic" w:hAnsi="Century Gothic"/>
        </w:rPr>
        <w:fldChar w:fldCharType="separate"/>
      </w:r>
      <w:r>
        <w:rPr/>
        <w:fldChar w:fldCharType="begin"/>
      </w:r>
      <w:r>
        <w:instrText xml:space="preserve"> HYPERLINK \l "_Toc82049139" </w:instrText>
      </w:r>
      <w:r>
        <w:rPr/>
        <w:fldChar w:fldCharType="separate"/>
      </w:r>
      <w:r>
        <w:rPr>
          <w:rStyle w:val="style85"/>
          <w:rFonts w:ascii="Century Gothic" w:hAnsi="Century Gothic"/>
          <w:noProof/>
        </w:rPr>
        <w:t>Tableau I: Récapitulatif des financements du PDIC / REDD + de Zecco</w:t>
      </w:r>
      <w:r>
        <w:rPr>
          <w:noProof/>
          <w:webHidden/>
        </w:rPr>
        <w:tab/>
      </w:r>
      <w:r>
        <w:rPr>
          <w:noProof/>
          <w:webHidden/>
        </w:rPr>
        <w:fldChar w:fldCharType="begin"/>
      </w:r>
      <w:r>
        <w:rPr>
          <w:noProof/>
          <w:webHidden/>
        </w:rPr>
        <w:instrText xml:space="preserve"> PAGEREF _Toc82049139 \h </w:instrText>
      </w:r>
      <w:r>
        <w:rPr>
          <w:noProof/>
          <w:webHidden/>
        </w:rPr>
        <w:fldChar w:fldCharType="separate"/>
      </w:r>
      <w:r>
        <w:rPr>
          <w:noProof/>
          <w:webHidden/>
        </w:rPr>
        <w:t>1</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"_Toc82049140" </w:instrText>
      </w:r>
      <w:r>
        <w:rPr/>
        <w:fldChar w:fldCharType="separate"/>
      </w:r>
      <w:r>
        <w:rPr>
          <w:rStyle w:val="style85"/>
          <w:rFonts w:ascii="Century Gothic" w:hAnsi="Century Gothic"/>
          <w:noProof/>
        </w:rPr>
        <w:t>Tableau II: Etude diachronique 1989 - 2020 de l'occupation des terres de la commune de Zecco</w:t>
      </w:r>
      <w:r>
        <w:rPr>
          <w:noProof/>
          <w:webHidden/>
        </w:rPr>
        <w:tab/>
      </w:r>
      <w:r>
        <w:rPr>
          <w:noProof/>
          <w:webHidden/>
        </w:rPr>
        <w:fldChar w:fldCharType="begin"/>
      </w:r>
      <w:r>
        <w:rPr>
          <w:noProof/>
          <w:webHidden/>
        </w:rPr>
        <w:instrText xml:space="preserve"> PAGEREF _Toc82049140 \h </w:instrText>
      </w:r>
      <w:r>
        <w:rPr>
          <w:noProof/>
          <w:webHidden/>
        </w:rPr>
        <w:fldChar w:fldCharType="separate"/>
      </w:r>
      <w:r>
        <w:rPr>
          <w:noProof/>
          <w:webHidden/>
        </w:rPr>
        <w:t>6</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"_Toc82049141" </w:instrText>
      </w:r>
      <w:r>
        <w:rPr/>
        <w:fldChar w:fldCharType="separate"/>
      </w:r>
      <w:r>
        <w:rPr>
          <w:rStyle w:val="style85"/>
          <w:rFonts w:ascii="Century Gothic" w:hAnsi="Century Gothic"/>
          <w:noProof/>
        </w:rPr>
        <w:t>Tableau III: Budget estimatif du PDIC/REDD+</w:t>
      </w:r>
      <w:r>
        <w:rPr>
          <w:noProof/>
          <w:webHidden/>
        </w:rPr>
        <w:tab/>
      </w:r>
      <w:r>
        <w:rPr>
          <w:noProof/>
          <w:webHidden/>
        </w:rPr>
        <w:fldChar w:fldCharType="begin"/>
      </w:r>
      <w:r>
        <w:rPr>
          <w:noProof/>
          <w:webHidden/>
        </w:rPr>
        <w:instrText xml:space="preserve"> PAGEREF _Toc82049141 \h </w:instrText>
      </w:r>
      <w:r>
        <w:rPr>
          <w:noProof/>
          <w:webHidden/>
        </w:rPr>
        <w:fldChar w:fldCharType="separate"/>
      </w:r>
      <w:r>
        <w:rPr>
          <w:noProof/>
          <w:webHidden/>
        </w:rPr>
        <w:t>31</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"_Toc82049142" </w:instrText>
      </w:r>
      <w:r>
        <w:rPr/>
        <w:fldChar w:fldCharType="separate"/>
      </w:r>
      <w:r>
        <w:rPr>
          <w:rStyle w:val="style85"/>
          <w:rFonts w:ascii="Century Gothic" w:hAnsi="Century Gothic"/>
          <w:noProof/>
        </w:rPr>
        <w:t>Tableau IV: Cadre logique</w:t>
      </w:r>
      <w:r>
        <w:rPr>
          <w:noProof/>
          <w:webHidden/>
        </w:rPr>
        <w:tab/>
      </w:r>
      <w:r>
        <w:rPr>
          <w:noProof/>
          <w:webHidden/>
        </w:rPr>
        <w:fldChar w:fldCharType="begin"/>
      </w:r>
      <w:r>
        <w:rPr>
          <w:noProof/>
          <w:webHidden/>
        </w:rPr>
        <w:instrText xml:space="preserve"> PAGEREF _Toc82049142 \h </w:instrText>
      </w:r>
      <w:r>
        <w:rPr>
          <w:noProof/>
          <w:webHidden/>
        </w:rPr>
        <w:fldChar w:fldCharType="separate"/>
      </w:r>
      <w:r>
        <w:rPr>
          <w:noProof/>
          <w:webHidden/>
        </w:rPr>
        <w:t>41</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"_Toc82049143" </w:instrText>
      </w:r>
      <w:r>
        <w:rPr/>
        <w:fldChar w:fldCharType="separate"/>
      </w:r>
      <w:r>
        <w:rPr>
          <w:rStyle w:val="style85"/>
          <w:rFonts w:ascii="Century Gothic" w:hAnsi="Century Gothic"/>
          <w:noProof/>
        </w:rPr>
        <w:t>4.7.1. Tableau V: Activités de l’espace de conservation de Gonré</w:t>
      </w:r>
      <w:r>
        <w:rPr>
          <w:noProof/>
          <w:webHidden/>
        </w:rPr>
        <w:tab/>
      </w:r>
      <w:r>
        <w:rPr>
          <w:noProof/>
          <w:webHidden/>
        </w:rPr>
        <w:fldChar w:fldCharType="begin"/>
      </w:r>
      <w:r>
        <w:rPr>
          <w:noProof/>
          <w:webHidden/>
        </w:rPr>
        <w:instrText xml:space="preserve"> PAGEREF _Toc82049143 \h </w:instrText>
      </w:r>
      <w:r>
        <w:rPr>
          <w:noProof/>
          <w:webHidden/>
        </w:rPr>
        <w:fldChar w:fldCharType="separate"/>
      </w:r>
      <w:r>
        <w:rPr>
          <w:noProof/>
          <w:webHidden/>
        </w:rPr>
        <w:t>49</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"_Toc82049144" </w:instrText>
      </w:r>
      <w:r>
        <w:rPr/>
        <w:fldChar w:fldCharType="separate"/>
      </w:r>
      <w:r>
        <w:rPr>
          <w:rStyle w:val="style85"/>
          <w:rFonts w:ascii="Century Gothic" w:hAnsi="Century Gothic"/>
          <w:noProof/>
        </w:rPr>
        <w:t>4.7.2. Tableau VI: Activités de l’espace de conservation de la forêt communale de Zecco</w:t>
      </w:r>
      <w:r>
        <w:rPr>
          <w:noProof/>
          <w:webHidden/>
        </w:rPr>
        <w:tab/>
      </w:r>
      <w:r>
        <w:rPr>
          <w:noProof/>
          <w:webHidden/>
        </w:rPr>
        <w:fldChar w:fldCharType="begin"/>
      </w:r>
      <w:r>
        <w:rPr>
          <w:noProof/>
          <w:webHidden/>
        </w:rPr>
        <w:instrText xml:space="preserve"> PAGEREF _Toc82049144 \h </w:instrText>
      </w:r>
      <w:r>
        <w:rPr>
          <w:noProof/>
          <w:webHidden/>
        </w:rPr>
        <w:fldChar w:fldCharType="separate"/>
      </w:r>
      <w:r>
        <w:rPr>
          <w:noProof/>
          <w:webHidden/>
        </w:rPr>
        <w:t>51</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"_Toc82049145" </w:instrText>
      </w:r>
      <w:r>
        <w:rPr/>
        <w:fldChar w:fldCharType="separate"/>
      </w:r>
      <w:r>
        <w:rPr>
          <w:rStyle w:val="style85"/>
          <w:rFonts w:ascii="Century Gothic" w:hAnsi="Century Gothic"/>
          <w:noProof/>
        </w:rPr>
        <w:t>4.7.3. Tableau VII: Activités de l’espace de conservation de la forêt sacrée de Baré</w:t>
      </w:r>
      <w:r>
        <w:rPr>
          <w:noProof/>
          <w:webHidden/>
        </w:rPr>
        <w:tab/>
      </w:r>
      <w:r>
        <w:rPr>
          <w:noProof/>
          <w:webHidden/>
        </w:rPr>
        <w:fldChar w:fldCharType="begin"/>
      </w:r>
      <w:r>
        <w:rPr>
          <w:noProof/>
          <w:webHidden/>
        </w:rPr>
        <w:instrText xml:space="preserve"> PAGEREF _Toc82049145 \h </w:instrText>
      </w:r>
      <w:r>
        <w:rPr>
          <w:noProof/>
          <w:webHidden/>
        </w:rPr>
        <w:fldChar w:fldCharType="separate"/>
      </w:r>
      <w:r>
        <w:rPr>
          <w:noProof/>
          <w:webHidden/>
        </w:rPr>
        <w:t>52</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"_Toc82049146" </w:instrText>
      </w:r>
      <w:r>
        <w:rPr/>
        <w:fldChar w:fldCharType="separate"/>
      </w:r>
      <w:r>
        <w:rPr>
          <w:rStyle w:val="style85"/>
          <w:rFonts w:ascii="Century Gothic" w:hAnsi="Century Gothic"/>
          <w:noProof/>
        </w:rPr>
        <w:t>Tableau VIII: Bénéficiaires du PDIC/REDD+</w:t>
      </w:r>
      <w:r>
        <w:rPr>
          <w:noProof/>
          <w:webHidden/>
        </w:rPr>
        <w:tab/>
      </w:r>
      <w:r>
        <w:rPr>
          <w:noProof/>
          <w:webHidden/>
        </w:rPr>
        <w:fldChar w:fldCharType="begin"/>
      </w:r>
      <w:r>
        <w:rPr>
          <w:noProof/>
          <w:webHidden/>
        </w:rPr>
        <w:instrText xml:space="preserve"> PAGEREF _Toc82049146 \h </w:instrText>
      </w:r>
      <w:r>
        <w:rPr>
          <w:noProof/>
          <w:webHidden/>
        </w:rPr>
        <w:fldChar w:fldCharType="separate"/>
      </w:r>
      <w:r>
        <w:rPr>
          <w:noProof/>
          <w:webHidden/>
        </w:rPr>
        <w:t>56</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"_Toc82049147" </w:instrText>
      </w:r>
      <w:r>
        <w:rPr/>
        <w:fldChar w:fldCharType="separate"/>
      </w:r>
      <w:r>
        <w:rPr>
          <w:rStyle w:val="style85"/>
          <w:rFonts w:ascii="Century Gothic" w:hAnsi="Century Gothic"/>
          <w:noProof/>
        </w:rPr>
        <w:t>Tableau IX: Résultats attendus de séquestration du carbone</w:t>
      </w:r>
      <w:r>
        <w:rPr>
          <w:noProof/>
          <w:webHidden/>
        </w:rPr>
        <w:tab/>
      </w:r>
      <w:r>
        <w:rPr>
          <w:noProof/>
          <w:webHidden/>
        </w:rPr>
        <w:fldChar w:fldCharType="begin"/>
      </w:r>
      <w:r>
        <w:rPr>
          <w:noProof/>
          <w:webHidden/>
        </w:rPr>
        <w:instrText xml:space="preserve"> PAGEREF _Toc82049147 \h </w:instrText>
      </w:r>
      <w:r>
        <w:rPr>
          <w:noProof/>
          <w:webHidden/>
        </w:rPr>
        <w:fldChar w:fldCharType="separate"/>
      </w:r>
      <w:r>
        <w:rPr>
          <w:noProof/>
          <w:webHidden/>
        </w:rPr>
        <w:t>61</w:t>
      </w:r>
      <w:r>
        <w:rPr>
          <w:noProof/>
          <w:webHidden/>
        </w:rPr>
        <w:fldChar w:fldCharType="end"/>
      </w:r>
      <w:r>
        <w:rPr/>
        <w:fldChar w:fldCharType="end"/>
      </w:r>
    </w:p>
    <w:p>
      <w:pPr>
        <w:pStyle w:val="style0"/>
        <w:spacing w:after="160" w:lineRule="auto" w:line="259"/>
        <w:rPr>
          <w:rFonts w:ascii="Century Gothic" w:hAnsi="Century Gothic"/>
        </w:rPr>
      </w:pPr>
      <w:r>
        <w:rPr>
          <w:rFonts w:ascii="Century Gothic" w:hAnsi="Century Gothic"/>
        </w:rPr>
        <w:fldChar w:fldCharType="end"/>
      </w:r>
    </w:p>
    <w:p>
      <w:pPr>
        <w:pStyle w:val="style0"/>
        <w:spacing w:after="160" w:lineRule="auto" w:line="259"/>
        <w:rPr>
          <w:rFonts w:ascii="Century Gothic" w:hAnsi="Century Gothic"/>
        </w:rPr>
      </w:pPr>
    </w:p>
    <w:bookmarkStart w:id="3" w:name="_Toc82049036"/>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Liste des figures</w:t>
      </w:r>
      <w:bookmarkEnd w:id="3"/>
    </w:p>
    <w:p>
      <w:pPr>
        <w:pStyle w:val="style35"/>
        <w:tabs>
          <w:tab w:val="right" w:leader="dot" w:pos="9642"/>
        </w:tabs>
        <w:rPr>
          <w:rFonts w:ascii="Calibri" w:cs="宋体" w:eastAsia="宋体" w:hAnsi="Calibri"/>
          <w:noProof/>
          <w:sz w:val="22"/>
          <w:szCs w:val="22"/>
        </w:rPr>
      </w:pPr>
      <w:r>
        <w:rPr>
          <w:rFonts w:ascii="Century Gothic" w:hAnsi="Century Gothic"/>
        </w:rPr>
        <w:fldChar w:fldCharType="begin"/>
      </w:r>
      <w:r>
        <w:rPr>
          <w:rFonts w:ascii="Century Gothic" w:hAnsi="Century Gothic"/>
        </w:rPr>
        <w:instrText xml:space="preserve"> TOC \h \z \c "Figure" </w:instrText>
      </w:r>
      <w:r>
        <w:rPr>
          <w:rFonts w:ascii="Century Gothic" w:hAnsi="Century Gothic"/>
        </w:rPr>
        <w:fldChar w:fldCharType="separate"/>
      </w:r>
      <w:r>
        <w:rPr/>
        <w:fldChar w:fldCharType="begin"/>
      </w:r>
      <w:r>
        <w:instrText xml:space="preserve"> HYPERLINK "file:/F:/SANOU/2021/Divers/Perso/Consultations/Ga%20Mo%20Wignan/Zécco/PDIC/PDIC-ZECCO-VERSION%20FINALE%207%20Septembre%202021.docx" \l "_Toc82049017" </w:instrText>
      </w:r>
      <w:r>
        <w:rPr/>
        <w:fldChar w:fldCharType="separate"/>
      </w:r>
      <w:r>
        <w:rPr>
          <w:rStyle w:val="style85"/>
          <w:rFonts w:ascii="Century Gothic" w:hAnsi="Century Gothic"/>
          <w:noProof/>
        </w:rPr>
        <w:t>Figure 1: Localisation de la commune de Zecco</w:t>
      </w:r>
      <w:r>
        <w:rPr>
          <w:noProof/>
          <w:webHidden/>
        </w:rPr>
        <w:tab/>
      </w:r>
      <w:r>
        <w:rPr>
          <w:noProof/>
          <w:webHidden/>
        </w:rPr>
        <w:fldChar w:fldCharType="begin"/>
      </w:r>
      <w:r>
        <w:rPr>
          <w:noProof/>
          <w:webHidden/>
        </w:rPr>
        <w:instrText xml:space="preserve"> PAGEREF _Toc82049017 \h </w:instrText>
      </w:r>
      <w:r>
        <w:rPr>
          <w:noProof/>
          <w:webHidden/>
        </w:rPr>
        <w:fldChar w:fldCharType="separate"/>
      </w:r>
      <w:r>
        <w:rPr>
          <w:noProof/>
          <w:webHidden/>
        </w:rPr>
        <w:t>2</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"_Toc82049018" </w:instrText>
      </w:r>
      <w:r>
        <w:rPr/>
        <w:fldChar w:fldCharType="separate"/>
      </w:r>
      <w:r>
        <w:rPr>
          <w:rStyle w:val="style85"/>
          <w:rFonts w:ascii="Century Gothic" w:hAnsi="Century Gothic"/>
          <w:noProof/>
        </w:rPr>
        <w:t>Figure 2: Localisation des espaces de conservation</w:t>
      </w:r>
      <w:r>
        <w:rPr>
          <w:noProof/>
          <w:webHidden/>
        </w:rPr>
        <w:tab/>
      </w:r>
      <w:r>
        <w:rPr>
          <w:noProof/>
          <w:webHidden/>
        </w:rPr>
        <w:fldChar w:fldCharType="begin"/>
      </w:r>
      <w:r>
        <w:rPr>
          <w:noProof/>
          <w:webHidden/>
        </w:rPr>
        <w:instrText xml:space="preserve"> PAGEREF _Toc82049018 \h </w:instrText>
      </w:r>
      <w:r>
        <w:rPr>
          <w:noProof/>
          <w:webHidden/>
        </w:rPr>
        <w:fldChar w:fldCharType="separate"/>
      </w:r>
      <w:r>
        <w:rPr>
          <w:noProof/>
          <w:webHidden/>
        </w:rPr>
        <w:t>4</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"_Toc82049019" </w:instrText>
      </w:r>
      <w:r>
        <w:rPr/>
        <w:fldChar w:fldCharType="separate"/>
      </w:r>
      <w:r>
        <w:rPr>
          <w:rStyle w:val="style85"/>
          <w:rFonts w:ascii="Century Gothic" w:hAnsi="Century Gothic"/>
          <w:noProof/>
        </w:rPr>
        <w:t>Figure 3: Taux moyen annuel d'expansion spatiale de 1989 à 2020 de la commune de Zecco</w:t>
      </w:r>
      <w:r>
        <w:rPr>
          <w:noProof/>
          <w:webHidden/>
        </w:rPr>
        <w:tab/>
      </w:r>
      <w:r>
        <w:rPr>
          <w:noProof/>
          <w:webHidden/>
        </w:rPr>
        <w:fldChar w:fldCharType="begin"/>
      </w:r>
      <w:r>
        <w:rPr>
          <w:noProof/>
          <w:webHidden/>
        </w:rPr>
        <w:instrText xml:space="preserve"> PAGEREF _Toc82049019 \h </w:instrText>
      </w:r>
      <w:r>
        <w:rPr>
          <w:noProof/>
          <w:webHidden/>
        </w:rPr>
        <w:fldChar w:fldCharType="separate"/>
      </w:r>
      <w:r>
        <w:rPr>
          <w:noProof/>
          <w:webHidden/>
        </w:rPr>
        <w:t>5</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"_Toc82049020" </w:instrText>
      </w:r>
      <w:r>
        <w:rPr/>
        <w:fldChar w:fldCharType="separate"/>
      </w:r>
      <w:r>
        <w:rPr>
          <w:rStyle w:val="style85"/>
          <w:rFonts w:ascii="Century Gothic" w:hAnsi="Century Gothic"/>
          <w:noProof/>
        </w:rPr>
        <w:t>Figure 4: Occupation des terres de la commune de Zecco en 1989 et en 2020</w:t>
      </w:r>
      <w:r>
        <w:rPr>
          <w:noProof/>
          <w:webHidden/>
        </w:rPr>
        <w:tab/>
      </w:r>
      <w:r>
        <w:rPr>
          <w:noProof/>
          <w:webHidden/>
        </w:rPr>
        <w:fldChar w:fldCharType="begin"/>
      </w:r>
      <w:r>
        <w:rPr>
          <w:noProof/>
          <w:webHidden/>
        </w:rPr>
        <w:instrText xml:space="preserve"> PAGEREF _Toc82049020 \h </w:instrText>
      </w:r>
      <w:r>
        <w:rPr>
          <w:noProof/>
          <w:webHidden/>
        </w:rPr>
        <w:fldChar w:fldCharType="separate"/>
      </w:r>
      <w:r>
        <w:rPr>
          <w:noProof/>
          <w:webHidden/>
        </w:rPr>
        <w:t>7</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"_Toc82049021" </w:instrText>
      </w:r>
      <w:r>
        <w:rPr/>
        <w:fldChar w:fldCharType="separate"/>
      </w:r>
      <w:r>
        <w:rPr>
          <w:rStyle w:val="style85"/>
          <w:rFonts w:ascii="Century Gothic" w:hAnsi="Century Gothic"/>
          <w:noProof/>
        </w:rPr>
        <w:t>Figure 5: Localisation des interventions autour de l'espace de conservation de Gonré</w:t>
      </w:r>
      <w:r>
        <w:rPr>
          <w:noProof/>
          <w:webHidden/>
        </w:rPr>
        <w:tab/>
      </w:r>
      <w:r>
        <w:rPr>
          <w:noProof/>
          <w:webHidden/>
        </w:rPr>
        <w:fldChar w:fldCharType="begin"/>
      </w:r>
      <w:r>
        <w:rPr>
          <w:noProof/>
          <w:webHidden/>
        </w:rPr>
        <w:instrText xml:space="preserve"> PAGEREF _Toc82049021 \h </w:instrText>
      </w:r>
      <w:r>
        <w:rPr>
          <w:noProof/>
          <w:webHidden/>
        </w:rPr>
        <w:fldChar w:fldCharType="separate"/>
      </w:r>
      <w:r>
        <w:rPr>
          <w:noProof/>
          <w:webHidden/>
        </w:rPr>
        <w:t>53</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"_Toc82049022" </w:instrText>
      </w:r>
      <w:r>
        <w:rPr/>
        <w:fldChar w:fldCharType="separate"/>
      </w:r>
      <w:r>
        <w:rPr>
          <w:rStyle w:val="style85"/>
          <w:rFonts w:ascii="Century Gothic" w:hAnsi="Century Gothic"/>
          <w:noProof/>
        </w:rPr>
        <w:t>Figure 6: Localisation des interventions autour de l'espace de conservation Zécco</w:t>
      </w:r>
      <w:r>
        <w:rPr>
          <w:noProof/>
          <w:webHidden/>
        </w:rPr>
        <w:tab/>
      </w:r>
      <w:r>
        <w:rPr>
          <w:noProof/>
          <w:webHidden/>
        </w:rPr>
        <w:fldChar w:fldCharType="begin"/>
      </w:r>
      <w:r>
        <w:rPr>
          <w:noProof/>
          <w:webHidden/>
        </w:rPr>
        <w:instrText xml:space="preserve"> PAGEREF _Toc82049022 \h </w:instrText>
      </w:r>
      <w:r>
        <w:rPr>
          <w:noProof/>
          <w:webHidden/>
        </w:rPr>
        <w:fldChar w:fldCharType="separate"/>
      </w:r>
      <w:r>
        <w:rPr>
          <w:noProof/>
          <w:webHidden/>
        </w:rPr>
        <w:t>54</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"_Toc82049023" </w:instrText>
      </w:r>
      <w:r>
        <w:rPr/>
        <w:fldChar w:fldCharType="separate"/>
      </w:r>
      <w:r>
        <w:rPr>
          <w:rStyle w:val="style85"/>
          <w:rFonts w:ascii="Century Gothic" w:hAnsi="Century Gothic"/>
          <w:noProof/>
        </w:rPr>
        <w:t>Figure 7: Localisation des interventions autour de l'espace de conservation de Baré</w:t>
      </w:r>
      <w:r>
        <w:rPr>
          <w:noProof/>
          <w:webHidden/>
        </w:rPr>
        <w:tab/>
      </w:r>
      <w:r>
        <w:rPr>
          <w:noProof/>
          <w:webHidden/>
        </w:rPr>
        <w:fldChar w:fldCharType="begin"/>
      </w:r>
      <w:r>
        <w:rPr>
          <w:noProof/>
          <w:webHidden/>
        </w:rPr>
        <w:instrText xml:space="preserve"> PAGEREF _Toc82049023 \h </w:instrText>
      </w:r>
      <w:r>
        <w:rPr>
          <w:noProof/>
          <w:webHidden/>
        </w:rPr>
        <w:fldChar w:fldCharType="separate"/>
      </w:r>
      <w:r>
        <w:rPr>
          <w:noProof/>
          <w:webHidden/>
        </w:rPr>
        <w:t>55</w:t>
      </w:r>
      <w:r>
        <w:rPr>
          <w:noProof/>
          <w:webHidden/>
        </w:rPr>
        <w:fldChar w:fldCharType="end"/>
      </w:r>
      <w:r>
        <w:rPr/>
        <w:fldChar w:fldCharType="end"/>
      </w:r>
    </w:p>
    <w:p>
      <w:pPr>
        <w:pStyle w:val="style0"/>
        <w:spacing w:after="160" w:lineRule="auto" w:line="259"/>
        <w:rPr>
          <w:rFonts w:ascii="Century Gothic" w:hAnsi="Century Gothic"/>
        </w:rPr>
      </w:pPr>
      <w:r>
        <w:rPr>
          <w:rFonts w:ascii="Century Gothic" w:hAnsi="Century Gothic"/>
        </w:rPr>
        <w:fldChar w:fldCharType="end"/>
      </w:r>
    </w:p>
    <w:p>
      <w:pPr>
        <w:pStyle w:val="style0"/>
        <w:spacing w:after="160" w:lineRule="auto" w:line="259"/>
        <w:rPr>
          <w:rFonts w:ascii="Century Gothic" w:hAnsi="Century Gothic"/>
          <w:b/>
          <w:bCs/>
          <w:smallCaps/>
          <w:kern w:val="32"/>
          <w:u w:val="double"/>
        </w:rPr>
      </w:pPr>
      <w:r>
        <w:rPr>
          <w:rFonts w:ascii="Century Gothic" w:hAnsi="Century Gothic"/>
        </w:rPr>
        <w:br w:type="page"/>
      </w:r>
    </w:p>
    <w:bookmarkStart w:id="4" w:name="_Toc82049037"/>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Sigles et abréviations</w:t>
      </w:r>
      <w:bookmarkEnd w:id="2"/>
      <w:bookmarkEnd w:id="4"/>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0"/>
        <w:rPr>
          <w:rFonts w:ascii="Century Gothic" w:hAnsi="Century Gothic"/>
        </w:rPr>
      </w:pPr>
      <w:r>
        <w:rPr>
          <w:rFonts w:ascii="Century Gothic" w:hAnsi="Century Gothic"/>
          <w:b/>
        </w:rPr>
        <w:t>A</w:t>
      </w:r>
      <w:r>
        <w:rPr>
          <w:rFonts w:ascii="Century Gothic" w:hAnsi="Century Gothic"/>
          <w:b/>
        </w:rPr>
        <w:t>N</w:t>
      </w:r>
      <w:r>
        <w:rPr>
          <w:rFonts w:ascii="Century Gothic" w:hAnsi="Century Gothic"/>
          <w:b/>
        </w:rPr>
        <w:t xml:space="preserve"> : </w:t>
      </w:r>
      <w:r>
        <w:rPr>
          <w:rFonts w:ascii="Century Gothic" w:hAnsi="Century Gothic"/>
          <w:b/>
        </w:rPr>
        <w:tab/>
      </w:r>
      <w:r>
        <w:rPr>
          <w:rFonts w:ascii="Century Gothic" w:hAnsi="Century Gothic"/>
          <w:b/>
        </w:rPr>
        <w:tab/>
      </w:r>
      <w:r>
        <w:rPr>
          <w:rFonts w:ascii="Century Gothic" w:hAnsi="Century Gothic"/>
        </w:rPr>
        <w:t xml:space="preserve">Assemblée </w:t>
      </w:r>
      <w:r>
        <w:rPr>
          <w:rFonts w:ascii="Century Gothic" w:hAnsi="Century Gothic"/>
        </w:rPr>
        <w:t>Nation</w:t>
      </w:r>
      <w:r>
        <w:rPr>
          <w:rFonts w:ascii="Century Gothic" w:hAnsi="Century Gothic"/>
        </w:rPr>
        <w:t>ale</w:t>
      </w:r>
    </w:p>
    <w:p>
      <w:pPr>
        <w:pStyle w:val="style0"/>
        <w:rPr>
          <w:rFonts w:ascii="Century Gothic" w:hAnsi="Century Gothic"/>
          <w:b/>
        </w:rPr>
      </w:pPr>
    </w:p>
    <w:p>
      <w:pPr>
        <w:pStyle w:val="style0"/>
        <w:rPr>
          <w:rFonts w:ascii="Century Gothic" w:hAnsi="Century Gothic"/>
        </w:rPr>
      </w:pPr>
      <w:r>
        <w:rPr>
          <w:rFonts w:ascii="Century Gothic" w:hAnsi="Century Gothic"/>
          <w:b/>
        </w:rPr>
        <w:t xml:space="preserve">CVD : </w:t>
      </w:r>
      <w:r>
        <w:rPr>
          <w:rFonts w:ascii="Century Gothic" w:hAnsi="Century Gothic"/>
          <w:b/>
        </w:rPr>
        <w:tab/>
      </w:r>
      <w:r>
        <w:rPr>
          <w:rFonts w:ascii="Century Gothic" w:hAnsi="Century Gothic"/>
        </w:rPr>
        <w:t>Conseil Villageois de Développement</w:t>
      </w:r>
    </w:p>
    <w:p>
      <w:pPr>
        <w:pStyle w:val="style0"/>
        <w:rPr>
          <w:rFonts w:ascii="Century Gothic" w:hAnsi="Century Gothic"/>
          <w:b/>
        </w:rPr>
      </w:pPr>
    </w:p>
    <w:p>
      <w:pPr>
        <w:pStyle w:val="style0"/>
        <w:rPr>
          <w:rFonts w:ascii="Century Gothic" w:hAnsi="Century Gothic"/>
        </w:rPr>
      </w:pPr>
      <w:r>
        <w:rPr>
          <w:rFonts w:ascii="Century Gothic" w:hAnsi="Century Gothic"/>
          <w:b/>
        </w:rPr>
        <w:t xml:space="preserve">PCD : </w:t>
      </w:r>
      <w:r>
        <w:rPr>
          <w:rFonts w:ascii="Century Gothic" w:hAnsi="Century Gothic"/>
          <w:b/>
        </w:rPr>
        <w:tab/>
      </w:r>
      <w:r>
        <w:rPr>
          <w:rFonts w:ascii="Century Gothic" w:hAnsi="Century Gothic"/>
          <w:b/>
        </w:rPr>
        <w:tab/>
      </w:r>
      <w:r>
        <w:rPr>
          <w:rFonts w:ascii="Century Gothic" w:hAnsi="Century Gothic"/>
        </w:rPr>
        <w:t>Plan Communal de Développement</w:t>
      </w:r>
    </w:p>
    <w:p>
      <w:pPr>
        <w:pStyle w:val="style0"/>
        <w:rPr>
          <w:rFonts w:ascii="Century Gothic" w:hAnsi="Century Gothic"/>
          <w:b/>
        </w:rPr>
      </w:pPr>
    </w:p>
    <w:p>
      <w:pPr>
        <w:pStyle w:val="style0"/>
        <w:rPr>
          <w:rFonts w:ascii="Century Gothic" w:hAnsi="Century Gothic"/>
        </w:rPr>
      </w:pPr>
      <w:r>
        <w:rPr>
          <w:rFonts w:ascii="Century Gothic" w:hAnsi="Century Gothic"/>
          <w:b/>
        </w:rPr>
        <w:t xml:space="preserve">PDIC : </w:t>
      </w:r>
      <w:r>
        <w:rPr>
          <w:rFonts w:ascii="Century Gothic" w:hAnsi="Century Gothic"/>
          <w:b/>
        </w:rPr>
        <w:tab/>
      </w:r>
      <w:r>
        <w:rPr>
          <w:rFonts w:ascii="Century Gothic" w:hAnsi="Century Gothic"/>
        </w:rPr>
        <w:t>Projet de Développement Intégré Communaux</w:t>
      </w:r>
    </w:p>
    <w:p>
      <w:pPr>
        <w:pStyle w:val="style0"/>
        <w:rPr>
          <w:rFonts w:ascii="Century Gothic" w:hAnsi="Century Gothic"/>
          <w:b/>
          <w:bCs/>
        </w:rPr>
      </w:pPr>
    </w:p>
    <w:p>
      <w:pPr>
        <w:pStyle w:val="style0"/>
        <w:rPr>
          <w:rFonts w:ascii="Century Gothic" w:hAnsi="Century Gothic"/>
          <w:b/>
          <w:bCs/>
        </w:rPr>
      </w:pPr>
      <w:r>
        <w:rPr>
          <w:rFonts w:ascii="Century Gothic" w:hAnsi="Century Gothic"/>
          <w:b/>
          <w:bCs/>
        </w:rPr>
        <w:t xml:space="preserve">PFNL : </w:t>
      </w:r>
      <w:r>
        <w:rPr>
          <w:rFonts w:ascii="Century Gothic" w:hAnsi="Century Gothic"/>
          <w:b/>
          <w:bCs/>
        </w:rPr>
        <w:tab/>
      </w:r>
      <w:r>
        <w:rPr>
          <w:rFonts w:ascii="Century Gothic" w:hAnsi="Century Gothic"/>
          <w:bCs/>
        </w:rPr>
        <w:t>Produits Forestiers Non Ligneux</w:t>
      </w:r>
    </w:p>
    <w:p>
      <w:pPr>
        <w:pStyle w:val="style0"/>
        <w:rPr>
          <w:rFonts w:ascii="Century Gothic" w:hAnsi="Century Gothic"/>
          <w:b/>
        </w:rPr>
      </w:pPr>
    </w:p>
    <w:p>
      <w:pPr>
        <w:pStyle w:val="style0"/>
        <w:rPr>
          <w:rFonts w:ascii="Century Gothic" w:hAnsi="Century Gothic"/>
        </w:rPr>
      </w:pPr>
      <w:r>
        <w:rPr>
          <w:rFonts w:ascii="Century Gothic" w:hAnsi="Century Gothic"/>
          <w:b/>
        </w:rPr>
        <w:t>PNKT</w:t>
      </w:r>
      <w:r>
        <w:rPr>
          <w:rFonts w:ascii="Century Gothic" w:hAnsi="Century Gothic"/>
        </w:rPr>
        <w:t> :</w:t>
      </w:r>
      <w:r>
        <w:rPr>
          <w:rFonts w:ascii="Century Gothic" w:hAnsi="Century Gothic"/>
        </w:rPr>
        <w:tab/>
      </w:r>
      <w:r>
        <w:rPr>
          <w:rFonts w:ascii="Century Gothic" w:hAnsi="Century Gothic"/>
        </w:rPr>
        <w:t xml:space="preserve"> </w:t>
      </w:r>
      <w:r>
        <w:rPr>
          <w:rFonts w:ascii="Century Gothic" w:hAnsi="Century Gothic"/>
        </w:rPr>
        <w:tab/>
      </w:r>
      <w:r>
        <w:rPr>
          <w:rFonts w:ascii="Century Gothic" w:hAnsi="Century Gothic"/>
        </w:rPr>
        <w:t>Parc National KABORE Tambi</w:t>
      </w:r>
    </w:p>
    <w:p>
      <w:pPr>
        <w:pStyle w:val="style0"/>
        <w:rPr>
          <w:rFonts w:ascii="Century Gothic" w:hAnsi="Century Gothic"/>
          <w:b/>
        </w:rPr>
      </w:pPr>
    </w:p>
    <w:p>
      <w:pPr>
        <w:pStyle w:val="style0"/>
        <w:rPr>
          <w:rFonts w:ascii="Century Gothic" w:hAnsi="Century Gothic"/>
        </w:rPr>
      </w:pPr>
      <w:r>
        <w:rPr>
          <w:rFonts w:ascii="Century Gothic" w:hAnsi="Century Gothic"/>
          <w:b/>
        </w:rPr>
        <w:t>PV</w:t>
      </w:r>
      <w:r>
        <w:rPr>
          <w:rFonts w:ascii="Century Gothic" w:hAnsi="Century Gothic"/>
        </w:rPr>
        <w:t xml:space="preserve"> : </w:t>
      </w:r>
      <w:r>
        <w:rPr>
          <w:rFonts w:ascii="Century Gothic" w:hAnsi="Century Gothic"/>
        </w:rPr>
        <w:tab/>
      </w:r>
      <w:r>
        <w:rPr>
          <w:rFonts w:ascii="Century Gothic" w:hAnsi="Century Gothic"/>
        </w:rPr>
        <w:tab/>
      </w:r>
      <w:r>
        <w:rPr>
          <w:rFonts w:ascii="Century Gothic" w:hAnsi="Century Gothic"/>
        </w:rPr>
        <w:t>Procès-Verbal</w:t>
      </w:r>
    </w:p>
    <w:p>
      <w:pPr>
        <w:pStyle w:val="style0"/>
        <w:rPr>
          <w:rFonts w:ascii="Century Gothic" w:hAnsi="Century Gothic"/>
          <w:b/>
        </w:rPr>
      </w:pPr>
    </w:p>
    <w:p>
      <w:pPr>
        <w:pStyle w:val="style0"/>
        <w:rPr>
          <w:rFonts w:ascii="Century Gothic" w:hAnsi="Century Gothic"/>
        </w:rPr>
      </w:pPr>
      <w:r>
        <w:rPr>
          <w:rFonts w:ascii="Century Gothic" w:hAnsi="Century Gothic"/>
          <w:b/>
        </w:rPr>
        <w:t>R</w:t>
      </w:r>
      <w:r>
        <w:rPr>
          <w:rFonts w:ascii="Century Gothic" w:hAnsi="Century Gothic"/>
          <w:b/>
        </w:rPr>
        <w:t>EDD</w:t>
      </w:r>
      <w:r>
        <w:rPr>
          <w:rFonts w:ascii="Century Gothic" w:hAnsi="Century Gothic"/>
          <w:b/>
        </w:rPr>
        <w:t> :</w:t>
      </w:r>
      <w:r>
        <w:rPr>
          <w:rFonts w:ascii="Century Gothic" w:hAnsi="Century Gothic"/>
        </w:rPr>
        <w:t xml:space="preserve"> </w:t>
      </w:r>
      <w:r>
        <w:rPr>
          <w:rFonts w:ascii="Century Gothic" w:hAnsi="Century Gothic"/>
        </w:rPr>
        <w:tab/>
      </w:r>
      <w:r>
        <w:rPr>
          <w:rFonts w:ascii="Century Gothic" w:hAnsi="Century Gothic"/>
        </w:rPr>
        <w:t>Ré</w:t>
      </w:r>
      <w:r>
        <w:rPr>
          <w:rFonts w:ascii="Century Gothic" w:hAnsi="Century Gothic"/>
        </w:rPr>
        <w:t>duction de Déforestation et de la Dégradation</w:t>
      </w:r>
    </w:p>
    <w:p>
      <w:pPr>
        <w:pStyle w:val="style0"/>
        <w:rPr>
          <w:rFonts w:ascii="Century Gothic" w:hAnsi="Century Gothic"/>
          <w:b/>
          <w:bCs/>
        </w:rPr>
      </w:pPr>
    </w:p>
    <w:p>
      <w:pPr>
        <w:pStyle w:val="style0"/>
        <w:rPr>
          <w:rFonts w:ascii="Century Gothic" w:hAnsi="Century Gothic"/>
          <w:bCs/>
        </w:rPr>
      </w:pPr>
      <w:r>
        <w:rPr>
          <w:rFonts w:ascii="Century Gothic" w:hAnsi="Century Gothic"/>
          <w:b/>
          <w:bCs/>
        </w:rPr>
        <w:t xml:space="preserve">SFR : </w:t>
      </w:r>
      <w:r>
        <w:rPr>
          <w:rFonts w:ascii="Century Gothic" w:hAnsi="Century Gothic"/>
          <w:b/>
          <w:bCs/>
        </w:rPr>
        <w:tab/>
      </w:r>
      <w:r>
        <w:rPr>
          <w:rFonts w:ascii="Century Gothic" w:hAnsi="Century Gothic"/>
          <w:b/>
          <w:bCs/>
        </w:rPr>
        <w:tab/>
      </w:r>
      <w:r>
        <w:rPr>
          <w:rFonts w:ascii="Century Gothic" w:hAnsi="Century Gothic"/>
          <w:bCs/>
        </w:rPr>
        <w:t>Service Foncier Rural</w:t>
      </w:r>
    </w:p>
    <w:p>
      <w:pPr>
        <w:pStyle w:val="style0"/>
        <w:ind w:left="1416" w:hanging="1416"/>
        <w:rPr>
          <w:rFonts w:ascii="Century Gothic" w:hAnsi="Century Gothic"/>
          <w:b/>
          <w:bCs/>
        </w:rPr>
      </w:pPr>
    </w:p>
    <w:p>
      <w:pPr>
        <w:pStyle w:val="style0"/>
        <w:ind w:left="1416" w:hanging="1416"/>
        <w:rPr>
          <w:rFonts w:ascii="Century Gothic" w:hAnsi="Century Gothic"/>
          <w:bCs/>
        </w:rPr>
      </w:pPr>
      <w:r>
        <w:rPr>
          <w:rFonts w:ascii="Century Gothic" w:hAnsi="Century Gothic"/>
          <w:b/>
          <w:bCs/>
        </w:rPr>
        <w:t>SDEEVCC</w:t>
      </w:r>
      <w:r>
        <w:rPr>
          <w:rFonts w:ascii="Century Gothic" w:hAnsi="Century Gothic"/>
          <w:bCs/>
        </w:rPr>
        <w:t> :</w:t>
      </w:r>
      <w:r>
        <w:rPr>
          <w:rFonts w:ascii="Century Gothic" w:hAnsi="Century Gothic"/>
          <w:bCs/>
        </w:rPr>
        <w:tab/>
      </w:r>
      <w:r>
        <w:rPr>
          <w:rFonts w:ascii="Century Gothic" w:hAnsi="Century Gothic"/>
          <w:bCs/>
        </w:rPr>
        <w:t>Service Départemental de l’Environnement, de l’Economie Verte et du Changement Climatique</w:t>
      </w:r>
    </w:p>
    <w:p>
      <w:pPr>
        <w:pStyle w:val="style0"/>
        <w:rPr>
          <w:rFonts w:ascii="Century Gothic" w:hAnsi="Century Gothic"/>
          <w:bCs/>
        </w:rPr>
      </w:pPr>
      <w:r>
        <w:rPr>
          <w:rFonts w:ascii="Century Gothic" w:hAnsi="Century Gothic"/>
          <w:b/>
          <w:bCs/>
        </w:rPr>
        <w:t>STD</w:t>
      </w:r>
      <w:r>
        <w:rPr>
          <w:rFonts w:ascii="Century Gothic" w:hAnsi="Century Gothic"/>
          <w:bCs/>
        </w:rPr>
        <w:t xml:space="preserve"> : </w:t>
      </w:r>
      <w:r>
        <w:rPr>
          <w:rFonts w:ascii="Century Gothic" w:hAnsi="Century Gothic"/>
          <w:bCs/>
        </w:rPr>
        <w:tab/>
      </w:r>
      <w:r>
        <w:rPr>
          <w:rFonts w:ascii="Century Gothic" w:hAnsi="Century Gothic"/>
          <w:bCs/>
        </w:rPr>
        <w:tab/>
      </w:r>
      <w:r>
        <w:rPr>
          <w:rFonts w:ascii="Century Gothic" w:hAnsi="Century Gothic"/>
          <w:bCs/>
        </w:rPr>
        <w:t>Services Techniques Déconcentrés</w:t>
      </w:r>
    </w:p>
    <w:p>
      <w:pPr>
        <w:pStyle w:val="style0"/>
        <w:rPr>
          <w:rFonts w:ascii="Century Gothic" w:hAnsi="Century Gothic"/>
          <w:b/>
          <w:bCs/>
        </w:rPr>
      </w:pPr>
    </w:p>
    <w:p>
      <w:pPr>
        <w:pStyle w:val="style0"/>
        <w:rPr>
          <w:rFonts w:ascii="Century Gothic" w:hAnsi="Century Gothic"/>
          <w:bCs/>
        </w:rPr>
      </w:pPr>
      <w:r>
        <w:rPr>
          <w:rFonts w:ascii="Century Gothic" w:hAnsi="Century Gothic"/>
          <w:b/>
          <w:bCs/>
        </w:rPr>
        <w:t>TdR</w:t>
      </w:r>
      <w:r>
        <w:rPr>
          <w:rFonts w:ascii="Century Gothic" w:hAnsi="Century Gothic"/>
          <w:bCs/>
        </w:rPr>
        <w:t xml:space="preserve"> : </w:t>
      </w:r>
      <w:r>
        <w:rPr>
          <w:rFonts w:ascii="Century Gothic" w:hAnsi="Century Gothic"/>
          <w:bCs/>
        </w:rPr>
        <w:tab/>
      </w:r>
      <w:r>
        <w:rPr>
          <w:rFonts w:ascii="Century Gothic" w:hAnsi="Century Gothic"/>
          <w:bCs/>
        </w:rPr>
        <w:tab/>
      </w:r>
      <w:r>
        <w:rPr>
          <w:rFonts w:ascii="Century Gothic" w:hAnsi="Century Gothic"/>
          <w:bCs/>
        </w:rPr>
        <w:t>Termes de Références</w:t>
      </w:r>
    </w:p>
    <w:p>
      <w:pPr>
        <w:pStyle w:val="style0"/>
        <w:rPr>
          <w:rFonts w:ascii="Century Gothic" w:hAnsi="Century Gothic"/>
          <w:b/>
        </w:rPr>
      </w:pPr>
    </w:p>
    <w:p>
      <w:pPr>
        <w:pStyle w:val="style0"/>
        <w:rPr>
          <w:rFonts w:ascii="Century Gothic" w:hAnsi="Century Gothic"/>
          <w:b/>
        </w:rPr>
      </w:pPr>
      <w:r>
        <w:rPr>
          <w:rFonts w:ascii="Century Gothic" w:hAnsi="Century Gothic"/>
          <w:b/>
        </w:rPr>
        <w:t xml:space="preserve">ZATA : </w:t>
      </w:r>
      <w:r>
        <w:rPr>
          <w:rFonts w:ascii="Century Gothic" w:hAnsi="Century Gothic"/>
          <w:b/>
        </w:rPr>
        <w:tab/>
      </w:r>
      <w:r>
        <w:rPr>
          <w:rFonts w:ascii="Century Gothic" w:hAnsi="Century Gothic"/>
        </w:rPr>
        <w:t>Zone d’Appui Technique à l’Agriculture</w:t>
      </w:r>
    </w:p>
    <w:p>
      <w:pPr>
        <w:pStyle w:val="style0"/>
        <w:rPr>
          <w:rFonts w:ascii="Century Gothic" w:hAnsi="Century Gothic"/>
          <w:b/>
        </w:rPr>
      </w:pPr>
    </w:p>
    <w:p>
      <w:pPr>
        <w:pStyle w:val="style0"/>
        <w:rPr>
          <w:rFonts w:ascii="Century Gothic" w:hAnsi="Century Gothic"/>
        </w:rPr>
      </w:pPr>
      <w:r>
        <w:rPr>
          <w:rFonts w:ascii="Century Gothic" w:hAnsi="Century Gothic"/>
          <w:b/>
        </w:rPr>
        <w:t>ZATE :</w:t>
      </w:r>
      <w:r>
        <w:rPr>
          <w:rFonts w:ascii="Century Gothic" w:hAnsi="Century Gothic"/>
        </w:rPr>
        <w:t xml:space="preserve"> </w:t>
      </w:r>
      <w:r>
        <w:rPr>
          <w:rFonts w:ascii="Century Gothic" w:hAnsi="Century Gothic"/>
        </w:rPr>
        <w:tab/>
      </w:r>
      <w:r>
        <w:rPr>
          <w:rFonts w:ascii="Century Gothic" w:hAnsi="Century Gothic"/>
        </w:rPr>
        <w:t>Zone d’Appui Technique en Elevage</w:t>
      </w:r>
    </w:p>
    <w:p>
      <w:pPr>
        <w:pStyle w:val="style0"/>
        <w:rPr>
          <w:rFonts w:ascii="Century Gothic" w:hAnsi="Century Gothic"/>
        </w:rPr>
      </w:pPr>
    </w:p>
    <w:p>
      <w:pPr>
        <w:pStyle w:val="style0"/>
        <w:rPr>
          <w:rFonts w:ascii="Century Gothic" w:hAnsi="Century Gothic"/>
        </w:rPr>
        <w:sectPr>
          <w:pgSz w:w="11920" w:h="16840" w:orient="portrait"/>
          <w:pgMar w:top="1134" w:right="1134" w:bottom="1134" w:left="1134" w:header="709" w:footer="709" w:gutter="0"/>
          <w:pgNumType w:fmt="lowerRoman" w:start="1"/>
          <w:cols w:space="708"/>
          <w:docGrid w:linePitch="360"/>
        </w:sectPr>
      </w:pPr>
    </w:p>
    <w:bookmarkStart w:id="5" w:name="_Toc82049038"/>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I. INFORMATIONS GENERALES</w:t>
      </w:r>
      <w:bookmarkEnd w:id="5"/>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b/>
        </w:rPr>
        <w:t xml:space="preserve">Maîtrise d’ouvrage : </w:t>
      </w:r>
      <w:r>
        <w:rPr>
          <w:rFonts w:ascii="Century Gothic" w:hAnsi="Century Gothic"/>
        </w:rPr>
        <w:t xml:space="preserve">Commune de </w:t>
      </w:r>
      <w:r>
        <w:rPr>
          <w:rFonts w:ascii="Century Gothic" w:hAnsi="Century Gothic"/>
        </w:rPr>
        <w:t>ZECCO</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 xml:space="preserve">Représentée par le Maire : </w:t>
      </w:r>
      <w:r>
        <w:rPr>
          <w:rFonts w:ascii="Century Gothic" w:hAnsi="Century Gothic"/>
        </w:rPr>
        <w:t>BAKEKA SAMPANA</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Contact(s) téléphonique(s) :</w:t>
      </w:r>
      <w:r>
        <w:rPr>
          <w:rFonts w:ascii="Century Gothic" w:hAnsi="Century Gothic"/>
        </w:rPr>
        <w:t xml:space="preserve"> </w:t>
      </w:r>
      <w:r>
        <w:rPr>
          <w:rFonts w:ascii="Century Gothic" w:hAnsi="Century Gothic"/>
        </w:rPr>
        <w:t xml:space="preserve">+226 </w:t>
      </w:r>
      <w:r>
        <w:rPr>
          <w:rFonts w:ascii="Century Gothic" w:hAnsi="Century Gothic"/>
        </w:rPr>
        <w:t>7</w:t>
      </w:r>
      <w:r>
        <w:rPr>
          <w:rFonts w:ascii="Century Gothic" w:hAnsi="Century Gothic"/>
        </w:rPr>
        <w:t>8 39 15 18</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rPr>
      </w:pPr>
    </w:p>
    <w:bookmarkStart w:id="6" w:name="_Toc82049139"/>
    <w:p>
      <w:pPr>
        <w:pStyle w:val="style34"/>
        <w:rPr>
          <w:rFonts w:ascii="Century Gothic" w:hAnsi="Century Gothic"/>
          <w:b w:val="false"/>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w:t>
      </w:r>
      <w:r>
        <w:rPr>
          <w:rFonts w:ascii="Century Gothic" w:hAnsi="Century Gothic"/>
          <w:color w:val="auto"/>
          <w:sz w:val="22"/>
          <w:szCs w:val="22"/>
        </w:rPr>
        <w:fldChar w:fldCharType="end"/>
      </w:r>
      <w:r>
        <w:rPr>
          <w:rFonts w:ascii="Century Gothic" w:hAnsi="Century Gothic"/>
          <w:color w:val="auto"/>
          <w:sz w:val="22"/>
          <w:szCs w:val="22"/>
        </w:rPr>
        <w:t>: Récapitulatif des financements du PDIC / REDD + de Zecco</w:t>
      </w:r>
      <w:bookmarkEnd w:id="6"/>
    </w:p>
    <w:p>
      <w:pPr>
        <w:pStyle w:val="style0"/>
        <w:tabs>
          <w:tab w:val="left" w:leader="none" w:pos="9214"/>
          <w:tab w:val="left" w:leader="none" w:pos="9639"/>
        </w:tabs>
        <w:jc w:val="both"/>
        <w:rPr>
          <w:rFonts w:ascii="Century Gothic" w:hAnsi="Century Gothi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532"/>
        <w:gridCol w:w="2083"/>
        <w:gridCol w:w="2156"/>
      </w:tblGrid>
      <w:tr>
        <w:trPr/>
        <w:tc>
          <w:tcPr>
            <w:tcW w:w="1489"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FINANCEMENT</w:t>
            </w:r>
          </w:p>
          <w:p>
            <w:pPr>
              <w:pStyle w:val="style0"/>
              <w:tabs>
                <w:tab w:val="left" w:leader="none" w:pos="9214"/>
                <w:tab w:val="left" w:leader="none" w:pos="9639"/>
              </w:tabs>
              <w:jc w:val="both"/>
              <w:rPr>
                <w:rFonts w:ascii="Century Gothic" w:hAnsi="Century Gothic"/>
                <w:b/>
              </w:rPr>
            </w:pPr>
          </w:p>
        </w:tc>
        <w:tc>
          <w:tcPr>
            <w:tcW w:w="1313"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center"/>
              <w:rPr>
                <w:rFonts w:ascii="Century Gothic" w:hAnsi="Century Gothic"/>
                <w:b/>
              </w:rPr>
            </w:pPr>
            <w:r>
              <w:rPr>
                <w:rFonts w:ascii="Century Gothic" w:hAnsi="Century Gothic"/>
                <w:b/>
              </w:rPr>
              <w:t>MONTANT (FCFA)</w:t>
            </w:r>
          </w:p>
        </w:tc>
        <w:tc>
          <w:tcPr>
            <w:tcW w:w="1080" w:type="pct"/>
            <w:tcBorders/>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center"/>
              <w:rPr>
                <w:rFonts w:ascii="Century Gothic" w:hAnsi="Century Gothic"/>
                <w:b/>
              </w:rPr>
            </w:pPr>
            <w:r>
              <w:rPr>
                <w:rFonts w:ascii="Century Gothic" w:hAnsi="Century Gothic"/>
                <w:b/>
              </w:rPr>
              <w:t>MONTANT (US$)</w:t>
            </w:r>
            <w:r>
              <w:rPr>
                <w:rStyle w:val="style38"/>
                <w:rFonts w:ascii="Century Gothic" w:hAnsi="Century Gothic"/>
                <w:b/>
              </w:rPr>
              <w:footnoteReference w:id="1"/>
            </w:r>
          </w:p>
          <w:p>
            <w:pPr>
              <w:pStyle w:val="style0"/>
              <w:tabs>
                <w:tab w:val="left" w:leader="none" w:pos="9214"/>
                <w:tab w:val="left" w:leader="none" w:pos="9639"/>
              </w:tabs>
              <w:jc w:val="center"/>
              <w:rPr>
                <w:rFonts w:ascii="Century Gothic" w:hAnsi="Century Gothic"/>
              </w:rPr>
            </w:pPr>
          </w:p>
        </w:tc>
        <w:tc>
          <w:tcPr>
            <w:tcW w:w="1118"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center"/>
              <w:rPr>
                <w:rFonts w:ascii="Century Gothic" w:hAnsi="Century Gothic"/>
                <w:b/>
              </w:rPr>
            </w:pPr>
            <w:r>
              <w:rPr>
                <w:rFonts w:ascii="Century Gothic" w:hAnsi="Century Gothic"/>
                <w:b/>
              </w:rPr>
              <w:t>POURCENTAGE (%)</w:t>
            </w:r>
          </w:p>
        </w:tc>
      </w:tr>
      <w:tr>
        <w:tblPrEx/>
        <w:trPr>
          <w:trHeight w:val="385" w:hRule="atLeast"/>
        </w:trPr>
        <w:tc>
          <w:tcPr>
            <w:tcW w:w="1489" w:type="pct"/>
            <w:tcBorders/>
            <w:shd w:val="clear" w:color="auto" w:fill="auto"/>
          </w:tcPr>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b/>
              </w:rPr>
              <w:t xml:space="preserve">Financement </w:t>
            </w:r>
            <w:r>
              <w:rPr>
                <w:rFonts w:ascii="Century Gothic" w:hAnsi="Century Gothic"/>
                <w:b/>
              </w:rPr>
              <w:t>recherché</w:t>
            </w:r>
          </w:p>
          <w:p>
            <w:pPr>
              <w:pStyle w:val="style0"/>
              <w:tabs>
                <w:tab w:val="left" w:leader="none" w:pos="9214"/>
                <w:tab w:val="left" w:leader="none" w:pos="9639"/>
              </w:tabs>
              <w:jc w:val="both"/>
              <w:rPr>
                <w:rFonts w:ascii="Century Gothic" w:hAnsi="Century Gothic"/>
              </w:rPr>
            </w:pPr>
          </w:p>
        </w:tc>
        <w:tc>
          <w:tcPr>
            <w:tcW w:w="1313" w:type="pct"/>
            <w:tcBorders/>
            <w:shd w:val="clear" w:color="auto" w:fill="auto"/>
            <w:vAlign w:val="center"/>
          </w:tcPr>
          <w:p>
            <w:pPr>
              <w:pStyle w:val="style0"/>
              <w:tabs>
                <w:tab w:val="left" w:leader="none" w:pos="930"/>
                <w:tab w:val="center" w:leader="none" w:pos="1557"/>
                <w:tab w:val="left" w:leader="none" w:pos="9214"/>
                <w:tab w:val="left" w:leader="none" w:pos="9639"/>
              </w:tabs>
              <w:jc w:val="center"/>
              <w:rPr>
                <w:rFonts w:ascii="Century Gothic" w:cs="Calibri" w:hAnsi="Century Gothic"/>
                <w:bCs/>
                <w:color w:val="000000"/>
              </w:rPr>
            </w:pPr>
            <w:r>
              <w:rPr>
                <w:rFonts w:ascii="Century Gothic" w:cs="Calibri" w:hAnsi="Century Gothic"/>
                <w:bCs/>
                <w:color w:val="000000"/>
              </w:rPr>
              <w:t>124 244 625</w:t>
            </w:r>
          </w:p>
        </w:tc>
        <w:tc>
          <w:tcPr>
            <w:tcW w:w="1080" w:type="pct"/>
            <w:tcBorders/>
            <w:vAlign w:val="center"/>
          </w:tcPr>
          <w:p>
            <w:pPr>
              <w:pStyle w:val="style0"/>
              <w:tabs>
                <w:tab w:val="left" w:leader="none" w:pos="9214"/>
                <w:tab w:val="left" w:leader="none" w:pos="9639"/>
              </w:tabs>
              <w:jc w:val="center"/>
              <w:rPr>
                <w:rFonts w:ascii="Century Gothic" w:cs="Calibri" w:hAnsi="Century Gothic"/>
                <w:bCs/>
                <w:iCs/>
                <w:color w:val="000000"/>
              </w:rPr>
            </w:pPr>
            <w:r>
              <w:rPr>
                <w:rFonts w:ascii="Century Gothic" w:cs="Calibri" w:hAnsi="Century Gothic"/>
                <w:bCs/>
                <w:iCs/>
                <w:color w:val="000000"/>
              </w:rPr>
              <w:t>224</w:t>
            </w:r>
            <w:r>
              <w:rPr>
                <w:rFonts w:ascii="Century Gothic" w:cs="Calibri" w:hAnsi="Century Gothic"/>
                <w:bCs/>
                <w:iCs/>
                <w:color w:val="000000"/>
              </w:rPr>
              <w:t xml:space="preserve"> </w:t>
            </w:r>
            <w:r>
              <w:rPr>
                <w:rFonts w:ascii="Century Gothic" w:cs="Calibri" w:hAnsi="Century Gothic"/>
                <w:bCs/>
                <w:iCs/>
                <w:color w:val="000000"/>
              </w:rPr>
              <w:t>885,29</w:t>
            </w:r>
          </w:p>
        </w:tc>
        <w:tc>
          <w:tcPr>
            <w:tcW w:w="1118" w:type="pct"/>
            <w:tcBorders/>
            <w:shd w:val="clear" w:color="auto" w:fill="auto"/>
            <w:vAlign w:val="center"/>
          </w:tcPr>
          <w:p>
            <w:pPr>
              <w:pStyle w:val="style0"/>
              <w:tabs>
                <w:tab w:val="left" w:leader="none" w:pos="9214"/>
                <w:tab w:val="left" w:leader="none" w:pos="9639"/>
              </w:tabs>
              <w:jc w:val="center"/>
              <w:rPr>
                <w:rFonts w:ascii="Century Gothic" w:cs="Calibri" w:hAnsi="Century Gothic"/>
                <w:bCs/>
                <w:iCs/>
                <w:color w:val="000000"/>
              </w:rPr>
            </w:pPr>
            <w:r>
              <w:rPr>
                <w:rFonts w:ascii="Century Gothic" w:cs="Calibri" w:hAnsi="Century Gothic"/>
                <w:bCs/>
                <w:iCs/>
                <w:color w:val="000000"/>
              </w:rPr>
              <w:t>76,93%</w:t>
            </w:r>
          </w:p>
        </w:tc>
      </w:tr>
      <w:tr>
        <w:tblPrEx/>
        <w:trPr>
          <w:trHeight w:val="256" w:hRule="atLeast"/>
        </w:trPr>
        <w:tc>
          <w:tcPr>
            <w:tcW w:w="1489"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Contribution locale non financière</w:t>
            </w:r>
          </w:p>
          <w:p>
            <w:pPr>
              <w:pStyle w:val="style0"/>
              <w:tabs>
                <w:tab w:val="left" w:leader="none" w:pos="9214"/>
                <w:tab w:val="left" w:leader="none" w:pos="9639"/>
              </w:tabs>
              <w:jc w:val="both"/>
              <w:rPr>
                <w:rFonts w:ascii="Century Gothic" w:hAnsi="Century Gothic"/>
                <w:b/>
              </w:rPr>
            </w:pPr>
          </w:p>
        </w:tc>
        <w:tc>
          <w:tcPr>
            <w:tcW w:w="1313" w:type="pct"/>
            <w:tcBorders/>
            <w:shd w:val="clear" w:color="auto" w:fill="auto"/>
            <w:vAlign w:val="center"/>
          </w:tcPr>
          <w:p>
            <w:pPr>
              <w:pStyle w:val="style0"/>
              <w:tabs>
                <w:tab w:val="left" w:leader="none" w:pos="9214"/>
                <w:tab w:val="left" w:leader="none" w:pos="9639"/>
              </w:tabs>
              <w:jc w:val="center"/>
              <w:rPr>
                <w:rFonts w:ascii="Century Gothic" w:cs="Calibri" w:hAnsi="Century Gothic"/>
                <w:bCs/>
                <w:color w:val="000000"/>
              </w:rPr>
            </w:pPr>
            <w:r>
              <w:rPr>
                <w:rFonts w:ascii="Century Gothic" w:cs="Calibri" w:hAnsi="Century Gothic"/>
                <w:bCs/>
                <w:color w:val="000000"/>
              </w:rPr>
              <w:t>31 175 000</w:t>
            </w:r>
          </w:p>
        </w:tc>
        <w:tc>
          <w:tcPr>
            <w:tcW w:w="1080" w:type="pct"/>
            <w:tcBorders/>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bCs/>
                <w:iCs/>
                <w:color w:val="000000"/>
              </w:rPr>
              <w:t>56</w:t>
            </w:r>
            <w:r>
              <w:rPr>
                <w:rFonts w:ascii="Century Gothic" w:cs="Calibri" w:hAnsi="Century Gothic"/>
                <w:bCs/>
                <w:iCs/>
                <w:color w:val="000000"/>
              </w:rPr>
              <w:t xml:space="preserve"> </w:t>
            </w:r>
            <w:r>
              <w:rPr>
                <w:rFonts w:ascii="Century Gothic" w:cs="Calibri" w:hAnsi="Century Gothic"/>
                <w:bCs/>
                <w:iCs/>
                <w:color w:val="000000"/>
              </w:rPr>
              <w:t>427,38199</w:t>
            </w:r>
          </w:p>
        </w:tc>
        <w:tc>
          <w:tcPr>
            <w:tcW w:w="1118" w:type="pct"/>
            <w:tcBorders/>
            <w:shd w:val="clear" w:color="auto" w:fill="auto"/>
            <w:vAlign w:val="center"/>
          </w:tcPr>
          <w:p>
            <w:pPr>
              <w:pStyle w:val="style0"/>
              <w:tabs>
                <w:tab w:val="left" w:leader="none" w:pos="9214"/>
                <w:tab w:val="left" w:leader="none" w:pos="9639"/>
              </w:tabs>
              <w:jc w:val="center"/>
              <w:rPr>
                <w:rFonts w:ascii="Century Gothic" w:cs="Calibri" w:hAnsi="Century Gothic"/>
                <w:bCs/>
                <w:iCs/>
                <w:color w:val="000000"/>
              </w:rPr>
            </w:pPr>
            <w:r>
              <w:rPr>
                <w:rFonts w:ascii="Century Gothic" w:cs="Calibri" w:hAnsi="Century Gothic"/>
                <w:bCs/>
                <w:iCs/>
                <w:color w:val="000000"/>
              </w:rPr>
              <w:t>23,07%</w:t>
            </w:r>
          </w:p>
          <w:p>
            <w:pPr>
              <w:pStyle w:val="style0"/>
              <w:tabs>
                <w:tab w:val="left" w:leader="none" w:pos="9214"/>
                <w:tab w:val="left" w:leader="none" w:pos="9639"/>
              </w:tabs>
              <w:jc w:val="center"/>
              <w:rPr>
                <w:rFonts w:ascii="Century Gothic" w:hAnsi="Century Gothic"/>
              </w:rPr>
            </w:pPr>
          </w:p>
        </w:tc>
      </w:tr>
      <w:tr>
        <w:tblPrEx/>
        <w:trPr>
          <w:trHeight w:val="267" w:hRule="atLeast"/>
        </w:trPr>
        <w:tc>
          <w:tcPr>
            <w:tcW w:w="1489"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Coût total</w:t>
            </w:r>
          </w:p>
          <w:p>
            <w:pPr>
              <w:pStyle w:val="style0"/>
              <w:tabs>
                <w:tab w:val="left" w:leader="none" w:pos="9214"/>
                <w:tab w:val="left" w:leader="none" w:pos="9639"/>
              </w:tabs>
              <w:jc w:val="both"/>
              <w:rPr>
                <w:rFonts w:ascii="Century Gothic" w:hAnsi="Century Gothic"/>
                <w:b/>
              </w:rPr>
            </w:pPr>
          </w:p>
        </w:tc>
        <w:tc>
          <w:tcPr>
            <w:tcW w:w="1313" w:type="pct"/>
            <w:tcBorders/>
            <w:shd w:val="clear" w:color="auto" w:fill="auto"/>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bCs/>
                <w:color w:val="000000"/>
              </w:rPr>
              <w:t>155 419 625</w:t>
            </w:r>
          </w:p>
        </w:tc>
        <w:tc>
          <w:tcPr>
            <w:tcW w:w="1080" w:type="pct"/>
            <w:tcBorders/>
            <w:vAlign w:val="center"/>
          </w:tcPr>
          <w:p>
            <w:pPr>
              <w:pStyle w:val="style0"/>
              <w:tabs>
                <w:tab w:val="left" w:leader="none" w:pos="9214"/>
                <w:tab w:val="left" w:leader="none" w:pos="9639"/>
              </w:tabs>
              <w:jc w:val="center"/>
              <w:rPr>
                <w:rFonts w:ascii="Century Gothic" w:cs="Calibri" w:hAnsi="Century Gothic"/>
                <w:bCs/>
                <w:iCs/>
                <w:color w:val="000000"/>
              </w:rPr>
            </w:pPr>
            <w:r>
              <w:rPr>
                <w:rFonts w:ascii="Century Gothic" w:cs="Calibri" w:hAnsi="Century Gothic"/>
                <w:bCs/>
                <w:iCs/>
                <w:color w:val="000000"/>
              </w:rPr>
              <w:t>281</w:t>
            </w:r>
            <w:r>
              <w:rPr>
                <w:rFonts w:ascii="Century Gothic" w:cs="Calibri" w:hAnsi="Century Gothic"/>
                <w:bCs/>
                <w:iCs/>
                <w:color w:val="000000"/>
              </w:rPr>
              <w:t xml:space="preserve"> </w:t>
            </w:r>
            <w:r>
              <w:rPr>
                <w:rFonts w:ascii="Century Gothic" w:cs="Calibri" w:hAnsi="Century Gothic"/>
                <w:bCs/>
                <w:iCs/>
                <w:color w:val="000000"/>
              </w:rPr>
              <w:t>312,672</w:t>
            </w:r>
          </w:p>
          <w:p>
            <w:pPr>
              <w:pStyle w:val="style0"/>
              <w:tabs>
                <w:tab w:val="left" w:leader="none" w:pos="9214"/>
                <w:tab w:val="left" w:leader="none" w:pos="9639"/>
              </w:tabs>
              <w:jc w:val="center"/>
              <w:rPr>
                <w:rFonts w:ascii="Century Gothic" w:hAnsi="Century Gothic"/>
              </w:rPr>
            </w:pPr>
          </w:p>
        </w:tc>
        <w:tc>
          <w:tcPr>
            <w:tcW w:w="1118" w:type="pct"/>
            <w:tcBorders/>
            <w:shd w:val="clear" w:color="auto" w:fill="auto"/>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100</w:t>
            </w:r>
          </w:p>
        </w:tc>
      </w:tr>
    </w:tbl>
    <w:p>
      <w:pPr>
        <w:pStyle w:val="style0"/>
        <w:tabs>
          <w:tab w:val="left" w:leader="none" w:pos="9214"/>
          <w:tab w:val="left" w:leader="none" w:pos="9639"/>
        </w:tabs>
        <w:jc w:val="both"/>
        <w:rPr>
          <w:rFonts w:ascii="Century Gothic" w:hAnsi="Century Gothic"/>
        </w:rPr>
      </w:pPr>
    </w:p>
    <w:p>
      <w:pPr>
        <w:pStyle w:val="style0"/>
        <w:spacing w:after="160" w:lineRule="auto" w:line="259"/>
        <w:rPr>
          <w:rFonts w:ascii="Century Gothic" w:hAnsi="Century Gothic"/>
          <w:b/>
          <w:bCs/>
          <w:smallCaps/>
          <w:kern w:val="32"/>
          <w:u w:val="double"/>
        </w:rPr>
      </w:pPr>
      <w:r>
        <w:rPr>
          <w:rFonts w:ascii="Century Gothic" w:hAnsi="Century Gothic"/>
          <w:b/>
          <w:bCs/>
          <w:smallCaps/>
          <w:kern w:val="32"/>
          <w:u w:val="double"/>
        </w:rPr>
        <w:br w:type="page"/>
      </w:r>
    </w:p>
    <w:p>
      <w:pPr>
        <w:pStyle w:val="style0"/>
        <w:spacing w:after="160" w:lineRule="auto" w:line="259"/>
        <w:rPr>
          <w:rFonts w:ascii="Century Gothic" w:hAnsi="Century Gothic"/>
          <w:b/>
          <w:bCs/>
          <w:smallCaps/>
          <w:kern w:val="32"/>
          <w:u w:val="double"/>
        </w:rPr>
      </w:pPr>
    </w:p>
    <w:bookmarkStart w:id="7" w:name="_Toc82049039"/>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II</w:t>
      </w:r>
      <w:r>
        <w:rPr>
          <w:rFonts w:ascii="Century Gothic" w:hAnsi="Century Gothic"/>
          <w:sz w:val="24"/>
          <w:szCs w:val="24"/>
        </w:rPr>
        <w:t>. Brève présentation de la commune</w:t>
      </w:r>
      <w:bookmarkEnd w:id="7"/>
    </w:p>
    <w:p>
      <w:pPr>
        <w:pStyle w:val="style0"/>
        <w:tabs>
          <w:tab w:val="left" w:leader="none" w:pos="9214"/>
          <w:tab w:val="left" w:leader="none" w:pos="9639"/>
        </w:tabs>
        <w:jc w:val="both"/>
        <w:rPr>
          <w:rFonts w:ascii="Century Gothic" w:hAnsi="Century Gothic"/>
          <w:i/>
        </w:rPr>
      </w:pPr>
    </w:p>
    <w:p>
      <w:pPr>
        <w:pStyle w:val="style0"/>
        <w:widowControl w:val="false"/>
        <w:autoSpaceDE w:val="false"/>
        <w:autoSpaceDN w:val="false"/>
        <w:adjustRightInd w:val="false"/>
        <w:ind w:right="75"/>
        <w:jc w:val="both"/>
        <w:rPr>
          <w:rFonts w:ascii="Century Gothic" w:cs="Calibri" w:hAnsi="Century Gothic"/>
          <w:position w:val="-1"/>
        </w:rPr>
      </w:pPr>
      <w:r>
        <w:rPr>
          <w:rFonts w:ascii="Century Gothic" w:cs="Calibri" w:hAnsi="Century Gothic"/>
        </w:rPr>
        <w:t xml:space="preserve">La </w:t>
      </w:r>
      <w:r>
        <w:rPr>
          <w:rFonts w:ascii="Century Gothic" w:cs="Calibri" w:hAnsi="Century Gothic"/>
          <w:spacing w:val="-1"/>
        </w:rPr>
        <w:t>c</w:t>
      </w:r>
      <w:r>
        <w:rPr>
          <w:rFonts w:ascii="Century Gothic" w:cs="Calibri" w:hAnsi="Century Gothic"/>
        </w:rPr>
        <w:t>om</w:t>
      </w:r>
      <w:r>
        <w:rPr>
          <w:rFonts w:ascii="Century Gothic" w:cs="Calibri" w:hAnsi="Century Gothic"/>
          <w:spacing w:val="-1"/>
        </w:rPr>
        <w:t>mun</w:t>
      </w:r>
      <w:r>
        <w:rPr>
          <w:rFonts w:ascii="Century Gothic" w:cs="Calibri" w:hAnsi="Century Gothic"/>
        </w:rPr>
        <w:t xml:space="preserve">e de </w:t>
      </w:r>
      <w:r>
        <w:rPr>
          <w:rFonts w:ascii="Century Gothic" w:cs="Calibri" w:hAnsi="Century Gothic"/>
          <w:spacing w:val="-1"/>
        </w:rPr>
        <w:t>Zecc</w:t>
      </w:r>
      <w:r>
        <w:rPr>
          <w:rFonts w:ascii="Century Gothic" w:cs="Calibri" w:hAnsi="Century Gothic"/>
        </w:rPr>
        <w:t xml:space="preserve">o </w:t>
      </w:r>
      <w:r>
        <w:rPr>
          <w:rFonts w:ascii="Century Gothic" w:cs="Calibri" w:hAnsi="Century Gothic"/>
          <w:spacing w:val="-1"/>
        </w:rPr>
        <w:t>e</w:t>
      </w:r>
      <w:r>
        <w:rPr>
          <w:rFonts w:ascii="Century Gothic" w:cs="Calibri" w:hAnsi="Century Gothic"/>
        </w:rPr>
        <w:t>st situ</w:t>
      </w:r>
      <w:r>
        <w:rPr>
          <w:rFonts w:ascii="Century Gothic" w:cs="Calibri" w:hAnsi="Century Gothic"/>
          <w:spacing w:val="-1"/>
        </w:rPr>
        <w:t>é</w:t>
      </w:r>
      <w:r>
        <w:rPr>
          <w:rFonts w:ascii="Century Gothic" w:cs="Calibri" w:hAnsi="Century Gothic"/>
        </w:rPr>
        <w:t xml:space="preserve">e </w:t>
      </w:r>
      <w:r>
        <w:rPr>
          <w:rFonts w:ascii="Century Gothic" w:cs="Calibri" w:hAnsi="Century Gothic"/>
          <w:spacing w:val="1"/>
        </w:rPr>
        <w:t>d</w:t>
      </w:r>
      <w:r>
        <w:rPr>
          <w:rFonts w:ascii="Century Gothic" w:cs="Calibri" w:hAnsi="Century Gothic"/>
          <w:spacing w:val="-1"/>
        </w:rPr>
        <w:t>an</w:t>
      </w:r>
      <w:r>
        <w:rPr>
          <w:rFonts w:ascii="Century Gothic" w:cs="Calibri" w:hAnsi="Century Gothic"/>
        </w:rPr>
        <w:t>s la r</w:t>
      </w:r>
      <w:r>
        <w:rPr>
          <w:rFonts w:ascii="Century Gothic" w:cs="Calibri" w:hAnsi="Century Gothic"/>
          <w:spacing w:val="-1"/>
        </w:rPr>
        <w:t>é</w:t>
      </w:r>
      <w:r>
        <w:rPr>
          <w:rFonts w:ascii="Century Gothic" w:cs="Calibri" w:hAnsi="Century Gothic"/>
        </w:rPr>
        <w:t>gi</w:t>
      </w:r>
      <w:r>
        <w:rPr>
          <w:rFonts w:ascii="Century Gothic" w:cs="Calibri" w:hAnsi="Century Gothic"/>
          <w:spacing w:val="-2"/>
        </w:rPr>
        <w:t>o</w:t>
      </w:r>
      <w:r>
        <w:rPr>
          <w:rFonts w:ascii="Century Gothic" w:cs="Calibri" w:hAnsi="Century Gothic"/>
        </w:rPr>
        <w:t xml:space="preserve">n du </w:t>
      </w:r>
      <w:r>
        <w:rPr>
          <w:rFonts w:ascii="Century Gothic" w:cs="Calibri" w:hAnsi="Century Gothic"/>
          <w:spacing w:val="-1"/>
        </w:rPr>
        <w:t>Cen</w:t>
      </w:r>
      <w:r>
        <w:rPr>
          <w:rFonts w:ascii="Century Gothic" w:cs="Calibri" w:hAnsi="Century Gothic"/>
        </w:rPr>
        <w:t>tre</w:t>
      </w:r>
      <w:r>
        <w:rPr>
          <w:rFonts w:ascii="Century Gothic" w:cs="Calibri" w:hAnsi="Century Gothic"/>
          <w:spacing w:val="-1"/>
        </w:rPr>
        <w:t>-</w:t>
      </w:r>
      <w:r>
        <w:rPr>
          <w:rFonts w:ascii="Century Gothic" w:cs="Calibri" w:hAnsi="Century Gothic"/>
        </w:rPr>
        <w:t>S</w:t>
      </w:r>
      <w:r>
        <w:rPr>
          <w:rFonts w:ascii="Century Gothic" w:cs="Calibri" w:hAnsi="Century Gothic"/>
          <w:spacing w:val="-1"/>
        </w:rPr>
        <w:t>u</w:t>
      </w:r>
      <w:r>
        <w:rPr>
          <w:rFonts w:ascii="Century Gothic" w:cs="Calibri" w:hAnsi="Century Gothic"/>
        </w:rPr>
        <w:t xml:space="preserve">d </w:t>
      </w:r>
      <w:r>
        <w:rPr>
          <w:rFonts w:ascii="Century Gothic" w:cs="Calibri" w:hAnsi="Century Gothic"/>
          <w:spacing w:val="-1"/>
        </w:rPr>
        <w:t>e</w:t>
      </w:r>
      <w:r>
        <w:rPr>
          <w:rFonts w:ascii="Century Gothic" w:cs="Calibri" w:hAnsi="Century Gothic"/>
        </w:rPr>
        <w:t xml:space="preserve">t </w:t>
      </w:r>
      <w:r>
        <w:rPr>
          <w:rFonts w:ascii="Century Gothic" w:cs="Calibri" w:hAnsi="Century Gothic"/>
          <w:spacing w:val="-1"/>
        </w:rPr>
        <w:t>e</w:t>
      </w:r>
      <w:r>
        <w:rPr>
          <w:rFonts w:ascii="Century Gothic" w:cs="Calibri" w:hAnsi="Century Gothic"/>
        </w:rPr>
        <w:t xml:space="preserve">st </w:t>
      </w:r>
      <w:r>
        <w:rPr>
          <w:rFonts w:ascii="Century Gothic" w:cs="Calibri" w:hAnsi="Century Gothic"/>
          <w:spacing w:val="-1"/>
        </w:rPr>
        <w:t>a</w:t>
      </w:r>
      <w:r>
        <w:rPr>
          <w:rFonts w:ascii="Century Gothic" w:cs="Calibri" w:hAnsi="Century Gothic"/>
        </w:rPr>
        <w:t>dmi</w:t>
      </w:r>
      <w:r>
        <w:rPr>
          <w:rFonts w:ascii="Century Gothic" w:cs="Calibri" w:hAnsi="Century Gothic"/>
          <w:spacing w:val="-1"/>
        </w:rPr>
        <w:t>n</w:t>
      </w:r>
      <w:r>
        <w:rPr>
          <w:rFonts w:ascii="Century Gothic" w:cs="Calibri" w:hAnsi="Century Gothic"/>
        </w:rPr>
        <w:t>ist</w:t>
      </w:r>
      <w:r>
        <w:rPr>
          <w:rFonts w:ascii="Century Gothic" w:cs="Calibri" w:hAnsi="Century Gothic"/>
          <w:spacing w:val="1"/>
        </w:rPr>
        <w:t>r</w:t>
      </w:r>
      <w:r>
        <w:rPr>
          <w:rFonts w:ascii="Century Gothic" w:cs="Calibri" w:hAnsi="Century Gothic"/>
          <w:spacing w:val="-1"/>
        </w:rPr>
        <w:t>a</w:t>
      </w:r>
      <w:r>
        <w:rPr>
          <w:rFonts w:ascii="Century Gothic" w:cs="Calibri" w:hAnsi="Century Gothic"/>
        </w:rPr>
        <w:t>ti</w:t>
      </w:r>
      <w:r>
        <w:rPr>
          <w:rFonts w:ascii="Century Gothic" w:cs="Calibri" w:hAnsi="Century Gothic"/>
          <w:spacing w:val="1"/>
        </w:rPr>
        <w:t>v</w:t>
      </w:r>
      <w:r>
        <w:rPr>
          <w:rFonts w:ascii="Century Gothic" w:cs="Calibri" w:hAnsi="Century Gothic"/>
          <w:spacing w:val="-1"/>
        </w:rPr>
        <w:t>emen</w:t>
      </w:r>
      <w:r>
        <w:rPr>
          <w:rFonts w:ascii="Century Gothic" w:cs="Calibri" w:hAnsi="Century Gothic"/>
        </w:rPr>
        <w:t>t r</w:t>
      </w:r>
      <w:r>
        <w:rPr>
          <w:rFonts w:ascii="Century Gothic" w:cs="Calibri" w:hAnsi="Century Gothic"/>
          <w:spacing w:val="-1"/>
        </w:rPr>
        <w:t>a</w:t>
      </w:r>
      <w:r>
        <w:rPr>
          <w:rFonts w:ascii="Century Gothic" w:cs="Calibri" w:hAnsi="Century Gothic"/>
        </w:rPr>
        <w:t>t</w:t>
      </w:r>
      <w:r>
        <w:rPr>
          <w:rFonts w:ascii="Century Gothic" w:cs="Calibri" w:hAnsi="Century Gothic"/>
          <w:spacing w:val="1"/>
        </w:rPr>
        <w:t>t</w:t>
      </w:r>
      <w:r>
        <w:rPr>
          <w:rFonts w:ascii="Century Gothic" w:cs="Calibri" w:hAnsi="Century Gothic"/>
          <w:spacing w:val="-1"/>
        </w:rPr>
        <w:t>aché</w:t>
      </w:r>
      <w:r>
        <w:rPr>
          <w:rFonts w:ascii="Century Gothic" w:cs="Calibri" w:hAnsi="Century Gothic"/>
        </w:rPr>
        <w:t>e à la provin</w:t>
      </w:r>
      <w:r>
        <w:rPr>
          <w:rFonts w:ascii="Century Gothic" w:cs="Calibri" w:hAnsi="Century Gothic"/>
          <w:spacing w:val="-1"/>
        </w:rPr>
        <w:t>c</w:t>
      </w:r>
      <w:r>
        <w:rPr>
          <w:rFonts w:ascii="Century Gothic" w:cs="Calibri" w:hAnsi="Century Gothic"/>
        </w:rPr>
        <w:t xml:space="preserve">e du </w:t>
      </w:r>
      <w:r>
        <w:rPr>
          <w:rFonts w:ascii="Century Gothic" w:cs="Calibri" w:hAnsi="Century Gothic"/>
          <w:spacing w:val="-1"/>
        </w:rPr>
        <w:t>Nah</w:t>
      </w:r>
      <w:r>
        <w:rPr>
          <w:rFonts w:ascii="Century Gothic" w:cs="Calibri" w:hAnsi="Century Gothic"/>
        </w:rPr>
        <w:t>o</w:t>
      </w:r>
      <w:r>
        <w:rPr>
          <w:rFonts w:ascii="Century Gothic" w:cs="Calibri" w:hAnsi="Century Gothic"/>
          <w:spacing w:val="-1"/>
        </w:rPr>
        <w:t>u</w:t>
      </w:r>
      <w:r>
        <w:rPr>
          <w:rFonts w:ascii="Century Gothic" w:cs="Calibri" w:hAnsi="Century Gothic"/>
        </w:rPr>
        <w:t>ri. S</w:t>
      </w:r>
      <w:r>
        <w:rPr>
          <w:rFonts w:ascii="Century Gothic" w:cs="Calibri" w:hAnsi="Century Gothic"/>
          <w:spacing w:val="-1"/>
        </w:rPr>
        <w:t>i</w:t>
      </w:r>
      <w:r>
        <w:rPr>
          <w:rFonts w:ascii="Century Gothic" w:cs="Calibri" w:hAnsi="Century Gothic"/>
        </w:rPr>
        <w:t>tu</w:t>
      </w:r>
      <w:r>
        <w:rPr>
          <w:rFonts w:ascii="Century Gothic" w:cs="Calibri" w:hAnsi="Century Gothic"/>
          <w:spacing w:val="-1"/>
        </w:rPr>
        <w:t>é</w:t>
      </w:r>
      <w:r>
        <w:rPr>
          <w:rFonts w:ascii="Century Gothic" w:cs="Calibri" w:hAnsi="Century Gothic"/>
        </w:rPr>
        <w:t xml:space="preserve">e à </w:t>
      </w:r>
      <w:r>
        <w:rPr>
          <w:rFonts w:ascii="Century Gothic" w:cs="Calibri" w:hAnsi="Century Gothic"/>
          <w:spacing w:val="-1"/>
        </w:rPr>
        <w:t>en</w:t>
      </w:r>
      <w:r>
        <w:rPr>
          <w:rFonts w:ascii="Century Gothic" w:cs="Calibri" w:hAnsi="Century Gothic"/>
        </w:rPr>
        <w:t>viron 46 Km de Pô (</w:t>
      </w:r>
      <w:r>
        <w:rPr>
          <w:rFonts w:ascii="Century Gothic" w:cs="Calibri" w:hAnsi="Century Gothic"/>
          <w:spacing w:val="-2"/>
        </w:rPr>
        <w:t>c</w:t>
      </w:r>
      <w:r>
        <w:rPr>
          <w:rFonts w:ascii="Century Gothic" w:cs="Calibri" w:hAnsi="Century Gothic"/>
          <w:spacing w:val="-1"/>
        </w:rPr>
        <w:t>he</w:t>
      </w:r>
      <w:r>
        <w:rPr>
          <w:rFonts w:ascii="Century Gothic" w:cs="Calibri" w:hAnsi="Century Gothic"/>
          <w:spacing w:val="3"/>
        </w:rPr>
        <w:t>f</w:t>
      </w:r>
      <w:r>
        <w:rPr>
          <w:rFonts w:ascii="Century Gothic" w:cs="Calibri" w:hAnsi="Century Gothic"/>
          <w:spacing w:val="-1"/>
        </w:rPr>
        <w:t>-</w:t>
      </w:r>
      <w:r>
        <w:rPr>
          <w:rFonts w:ascii="Century Gothic" w:cs="Calibri" w:hAnsi="Century Gothic"/>
        </w:rPr>
        <w:t>li</w:t>
      </w:r>
      <w:r>
        <w:rPr>
          <w:rFonts w:ascii="Century Gothic" w:cs="Calibri" w:hAnsi="Century Gothic"/>
          <w:spacing w:val="-1"/>
        </w:rPr>
        <w:t>e</w:t>
      </w:r>
      <w:r>
        <w:rPr>
          <w:rFonts w:ascii="Century Gothic" w:cs="Calibri" w:hAnsi="Century Gothic"/>
        </w:rPr>
        <w:t>u de la provin</w:t>
      </w:r>
      <w:r>
        <w:rPr>
          <w:rFonts w:ascii="Century Gothic" w:cs="Calibri" w:hAnsi="Century Gothic"/>
          <w:spacing w:val="-1"/>
        </w:rPr>
        <w:t>ce</w:t>
      </w:r>
      <w:r>
        <w:rPr>
          <w:rFonts w:ascii="Century Gothic" w:cs="Calibri" w:hAnsi="Century Gothic"/>
        </w:rPr>
        <w:t xml:space="preserve">) </w:t>
      </w:r>
      <w:r>
        <w:rPr>
          <w:rFonts w:ascii="Century Gothic" w:cs="Calibri" w:hAnsi="Century Gothic"/>
          <w:spacing w:val="-1"/>
        </w:rPr>
        <w:t>e</w:t>
      </w:r>
      <w:r>
        <w:rPr>
          <w:rFonts w:ascii="Century Gothic" w:cs="Calibri" w:hAnsi="Century Gothic"/>
        </w:rPr>
        <w:t>t à 1</w:t>
      </w:r>
      <w:r>
        <w:rPr>
          <w:rFonts w:ascii="Century Gothic" w:cs="Calibri" w:hAnsi="Century Gothic"/>
          <w:spacing w:val="-1"/>
        </w:rPr>
        <w:t>1</w:t>
      </w:r>
      <w:r>
        <w:rPr>
          <w:rFonts w:ascii="Century Gothic" w:cs="Calibri" w:hAnsi="Century Gothic"/>
        </w:rPr>
        <w:t>0 Km de Ma</w:t>
      </w:r>
      <w:r>
        <w:rPr>
          <w:rFonts w:ascii="Century Gothic" w:cs="Calibri" w:hAnsi="Century Gothic"/>
          <w:spacing w:val="-1"/>
        </w:rPr>
        <w:t>n</w:t>
      </w:r>
      <w:r>
        <w:rPr>
          <w:rFonts w:ascii="Century Gothic" w:cs="Calibri" w:hAnsi="Century Gothic"/>
        </w:rPr>
        <w:t>ga (</w:t>
      </w:r>
      <w:r>
        <w:rPr>
          <w:rFonts w:ascii="Century Gothic" w:cs="Calibri" w:hAnsi="Century Gothic"/>
          <w:spacing w:val="-2"/>
        </w:rPr>
        <w:t>c</w:t>
      </w:r>
      <w:r>
        <w:rPr>
          <w:rFonts w:ascii="Century Gothic" w:cs="Calibri" w:hAnsi="Century Gothic"/>
          <w:spacing w:val="-1"/>
        </w:rPr>
        <w:t>he</w:t>
      </w:r>
      <w:r>
        <w:rPr>
          <w:rFonts w:ascii="Century Gothic" w:cs="Calibri" w:hAnsi="Century Gothic"/>
          <w:spacing w:val="1"/>
        </w:rPr>
        <w:t>f</w:t>
      </w:r>
      <w:r>
        <w:rPr>
          <w:rFonts w:ascii="Century Gothic" w:cs="Calibri" w:hAnsi="Century Gothic"/>
          <w:spacing w:val="-1"/>
        </w:rPr>
        <w:t>-</w:t>
      </w:r>
      <w:r>
        <w:rPr>
          <w:rFonts w:ascii="Century Gothic" w:cs="Calibri" w:hAnsi="Century Gothic"/>
        </w:rPr>
        <w:t>li</w:t>
      </w:r>
      <w:r>
        <w:rPr>
          <w:rFonts w:ascii="Century Gothic" w:cs="Calibri" w:hAnsi="Century Gothic"/>
          <w:spacing w:val="-1"/>
        </w:rPr>
        <w:t>e</w:t>
      </w:r>
      <w:r>
        <w:rPr>
          <w:rFonts w:ascii="Century Gothic" w:cs="Calibri" w:hAnsi="Century Gothic"/>
        </w:rPr>
        <w:t>u de la r</w:t>
      </w:r>
      <w:r>
        <w:rPr>
          <w:rFonts w:ascii="Century Gothic" w:cs="Calibri" w:hAnsi="Century Gothic"/>
          <w:spacing w:val="-1"/>
        </w:rPr>
        <w:t>é</w:t>
      </w:r>
      <w:r>
        <w:rPr>
          <w:rFonts w:ascii="Century Gothic" w:cs="Calibri" w:hAnsi="Century Gothic"/>
        </w:rPr>
        <w:t>gion</w:t>
      </w:r>
      <w:r>
        <w:rPr>
          <w:rFonts w:ascii="Century Gothic" w:cs="Calibri" w:hAnsi="Century Gothic"/>
          <w:spacing w:val="-1"/>
        </w:rPr>
        <w:t>)</w:t>
      </w:r>
      <w:r>
        <w:rPr>
          <w:rFonts w:ascii="Century Gothic" w:cs="Calibri" w:hAnsi="Century Gothic"/>
        </w:rPr>
        <w:t xml:space="preserve">, </w:t>
      </w:r>
      <w:r>
        <w:rPr>
          <w:rFonts w:ascii="Century Gothic" w:cs="Calibri" w:hAnsi="Century Gothic"/>
          <w:spacing w:val="1"/>
        </w:rPr>
        <w:t>Z</w:t>
      </w:r>
      <w:r>
        <w:rPr>
          <w:rFonts w:ascii="Century Gothic" w:cs="Calibri" w:hAnsi="Century Gothic"/>
          <w:spacing w:val="-1"/>
        </w:rPr>
        <w:t>ecc</w:t>
      </w:r>
      <w:r>
        <w:rPr>
          <w:rFonts w:ascii="Century Gothic" w:cs="Calibri" w:hAnsi="Century Gothic"/>
        </w:rPr>
        <w:t xml:space="preserve">o </w:t>
      </w:r>
      <w:r>
        <w:rPr>
          <w:rFonts w:ascii="Century Gothic" w:cs="Calibri" w:hAnsi="Century Gothic"/>
          <w:spacing w:val="-1"/>
        </w:rPr>
        <w:t>c</w:t>
      </w:r>
      <w:r>
        <w:rPr>
          <w:rFonts w:ascii="Century Gothic" w:cs="Calibri" w:hAnsi="Century Gothic"/>
        </w:rPr>
        <w:t>o</w:t>
      </w:r>
      <w:r>
        <w:rPr>
          <w:rFonts w:ascii="Century Gothic" w:cs="Calibri" w:hAnsi="Century Gothic"/>
          <w:spacing w:val="-1"/>
        </w:rPr>
        <w:t>u</w:t>
      </w:r>
      <w:r>
        <w:rPr>
          <w:rFonts w:ascii="Century Gothic" w:cs="Calibri" w:hAnsi="Century Gothic"/>
        </w:rPr>
        <w:t xml:space="preserve">vre </w:t>
      </w:r>
      <w:r>
        <w:rPr>
          <w:rFonts w:ascii="Century Gothic" w:cs="Calibri" w:hAnsi="Century Gothic"/>
          <w:spacing w:val="-1"/>
        </w:rPr>
        <w:t>un</w:t>
      </w:r>
      <w:r>
        <w:rPr>
          <w:rFonts w:ascii="Century Gothic" w:cs="Calibri" w:hAnsi="Century Gothic"/>
        </w:rPr>
        <w:t>e s</w:t>
      </w:r>
      <w:r>
        <w:rPr>
          <w:rFonts w:ascii="Century Gothic" w:cs="Calibri" w:hAnsi="Century Gothic"/>
          <w:spacing w:val="-1"/>
        </w:rPr>
        <w:t>u</w:t>
      </w:r>
      <w:r>
        <w:rPr>
          <w:rFonts w:ascii="Century Gothic" w:cs="Calibri" w:hAnsi="Century Gothic"/>
        </w:rPr>
        <w:t>pe</w:t>
      </w:r>
      <w:r>
        <w:rPr>
          <w:rFonts w:ascii="Century Gothic" w:cs="Calibri" w:hAnsi="Century Gothic"/>
          <w:spacing w:val="-1"/>
        </w:rPr>
        <w:t>r</w:t>
      </w:r>
      <w:r>
        <w:rPr>
          <w:rFonts w:ascii="Century Gothic" w:cs="Calibri" w:hAnsi="Century Gothic"/>
        </w:rPr>
        <w:t>f</w:t>
      </w:r>
      <w:r>
        <w:rPr>
          <w:rFonts w:ascii="Century Gothic" w:cs="Calibri" w:hAnsi="Century Gothic"/>
          <w:spacing w:val="-1"/>
        </w:rPr>
        <w:t>i</w:t>
      </w:r>
      <w:r>
        <w:rPr>
          <w:rFonts w:ascii="Century Gothic" w:cs="Calibri" w:hAnsi="Century Gothic"/>
          <w:spacing w:val="1"/>
        </w:rPr>
        <w:t>c</w:t>
      </w:r>
      <w:r>
        <w:rPr>
          <w:rFonts w:ascii="Century Gothic" w:cs="Calibri" w:hAnsi="Century Gothic"/>
        </w:rPr>
        <w:t>ie d</w:t>
      </w:r>
      <w:r>
        <w:rPr>
          <w:rFonts w:ascii="Century Gothic" w:cs="Calibri" w:hAnsi="Century Gothic"/>
          <w:spacing w:val="-1"/>
        </w:rPr>
        <w:t>’en</w:t>
      </w:r>
      <w:r>
        <w:rPr>
          <w:rFonts w:ascii="Century Gothic" w:cs="Calibri" w:hAnsi="Century Gothic"/>
        </w:rPr>
        <w:t>viron 5</w:t>
      </w:r>
      <w:r>
        <w:rPr>
          <w:rFonts w:ascii="Century Gothic" w:cs="Calibri" w:hAnsi="Century Gothic"/>
          <w:spacing w:val="-1"/>
        </w:rPr>
        <w:t>9</w:t>
      </w:r>
      <w:r>
        <w:rPr>
          <w:rFonts w:ascii="Century Gothic" w:cs="Calibri" w:hAnsi="Century Gothic"/>
        </w:rPr>
        <w:t>,9</w:t>
      </w:r>
      <w:r>
        <w:rPr>
          <w:rFonts w:ascii="Century Gothic" w:cs="Calibri" w:hAnsi="Century Gothic"/>
          <w:spacing w:val="-1"/>
        </w:rPr>
        <w:t>3</w:t>
      </w:r>
      <w:r>
        <w:rPr>
          <w:rFonts w:ascii="Century Gothic" w:cs="Calibri" w:hAnsi="Century Gothic"/>
        </w:rPr>
        <w:t xml:space="preserve">1 </w:t>
      </w:r>
      <w:r>
        <w:rPr>
          <w:rFonts w:ascii="Century Gothic" w:cs="Calibri" w:hAnsi="Century Gothic"/>
          <w:position w:val="-1"/>
        </w:rPr>
        <w:t>K</w:t>
      </w:r>
      <w:r>
        <w:rPr>
          <w:rFonts w:ascii="Century Gothic" w:cs="Calibri" w:hAnsi="Century Gothic"/>
          <w:spacing w:val="-1"/>
          <w:position w:val="-1"/>
        </w:rPr>
        <w:t>m</w:t>
      </w:r>
      <w:r>
        <w:rPr>
          <w:rFonts w:ascii="Century Gothic" w:cs="Calibri" w:hAnsi="Century Gothic"/>
          <w:spacing w:val="1"/>
          <w:position w:val="9"/>
        </w:rPr>
        <w:t>2</w:t>
      </w:r>
      <w:r>
        <w:rPr>
          <w:rFonts w:ascii="Century Gothic" w:cs="Calibri" w:hAnsi="Century Gothic"/>
          <w:position w:val="-1"/>
        </w:rPr>
        <w:t>.</w:t>
      </w:r>
    </w:p>
    <w:p>
      <w:pPr>
        <w:pStyle w:val="style0"/>
        <w:widowControl w:val="false"/>
        <w:autoSpaceDE w:val="false"/>
        <w:autoSpaceDN w:val="false"/>
        <w:adjustRightInd w:val="false"/>
        <w:ind w:right="75"/>
        <w:jc w:val="both"/>
        <w:rPr>
          <w:rFonts w:ascii="Century Gothic" w:cs="Calibri" w:hAnsi="Century Gothic"/>
          <w:spacing w:val="1"/>
          <w:position w:val="-1"/>
        </w:rPr>
      </w:pPr>
    </w:p>
    <w:p>
      <w:pPr>
        <w:pStyle w:val="style0"/>
        <w:widowControl w:val="false"/>
        <w:autoSpaceDE w:val="false"/>
        <w:autoSpaceDN w:val="false"/>
        <w:adjustRightInd w:val="false"/>
        <w:ind w:right="75"/>
        <w:jc w:val="both"/>
        <w:rPr>
          <w:rFonts w:ascii="Century Gothic" w:cs="Calibri" w:hAnsi="Century Gothic"/>
          <w:position w:val="-1"/>
        </w:rPr>
      </w:pPr>
      <w:r>
        <w:rPr>
          <w:rFonts w:ascii="Century Gothic" w:cs="Calibri" w:hAnsi="Century Gothic"/>
          <w:spacing w:val="1"/>
          <w:position w:val="-1"/>
        </w:rPr>
        <w:t>E</w:t>
      </w:r>
      <w:r>
        <w:rPr>
          <w:rFonts w:ascii="Century Gothic" w:cs="Calibri" w:hAnsi="Century Gothic"/>
          <w:position w:val="-1"/>
        </w:rPr>
        <w:t xml:space="preserve">lle </w:t>
      </w:r>
      <w:r>
        <w:rPr>
          <w:rFonts w:ascii="Century Gothic" w:cs="Calibri" w:hAnsi="Century Gothic"/>
          <w:spacing w:val="-1"/>
          <w:position w:val="-1"/>
        </w:rPr>
        <w:t>e</w:t>
      </w:r>
      <w:r>
        <w:rPr>
          <w:rFonts w:ascii="Century Gothic" w:cs="Calibri" w:hAnsi="Century Gothic"/>
          <w:position w:val="-1"/>
        </w:rPr>
        <w:t>st li</w:t>
      </w:r>
      <w:r>
        <w:rPr>
          <w:rFonts w:ascii="Century Gothic" w:cs="Calibri" w:hAnsi="Century Gothic"/>
          <w:spacing w:val="-1"/>
          <w:position w:val="-1"/>
        </w:rPr>
        <w:t>m</w:t>
      </w:r>
      <w:r>
        <w:rPr>
          <w:rFonts w:ascii="Century Gothic" w:cs="Calibri" w:hAnsi="Century Gothic"/>
          <w:position w:val="-1"/>
        </w:rPr>
        <w:t>itée :</w:t>
      </w:r>
    </w:p>
    <w:p>
      <w:pPr>
        <w:pStyle w:val="style179"/>
        <w:widowControl w:val="false"/>
        <w:numPr>
          <w:ilvl w:val="0"/>
          <w:numId w:val="4"/>
        </w:numPr>
        <w:autoSpaceDE w:val="false"/>
        <w:autoSpaceDN w:val="false"/>
        <w:adjustRightInd w:val="false"/>
        <w:ind w:right="75"/>
        <w:jc w:val="both"/>
        <w:rPr>
          <w:rFonts w:ascii="Century Gothic" w:cs="Calibri" w:hAnsi="Century Gothic"/>
          <w:spacing w:val="20"/>
          <w:position w:val="-1"/>
        </w:rPr>
      </w:pPr>
      <w:r>
        <w:rPr>
          <w:rFonts w:ascii="Century Gothic" w:cs="Calibri" w:hAnsi="Century Gothic"/>
          <w:spacing w:val="-1"/>
          <w:position w:val="-1"/>
        </w:rPr>
        <w:t>A</w:t>
      </w:r>
      <w:r>
        <w:rPr>
          <w:rFonts w:ascii="Century Gothic" w:cs="Calibri" w:hAnsi="Century Gothic"/>
          <w:position w:val="-1"/>
        </w:rPr>
        <w:t xml:space="preserve">u </w:t>
      </w:r>
      <w:r>
        <w:rPr>
          <w:rFonts w:ascii="Century Gothic" w:cs="Calibri" w:hAnsi="Century Gothic"/>
          <w:spacing w:val="-1"/>
          <w:position w:val="-1"/>
        </w:rPr>
        <w:t>N</w:t>
      </w:r>
      <w:r>
        <w:rPr>
          <w:rFonts w:ascii="Century Gothic" w:cs="Calibri" w:hAnsi="Century Gothic"/>
          <w:position w:val="-1"/>
        </w:rPr>
        <w:t xml:space="preserve">ord par la </w:t>
      </w:r>
      <w:r>
        <w:rPr>
          <w:rFonts w:ascii="Century Gothic" w:cs="Calibri" w:hAnsi="Century Gothic"/>
          <w:spacing w:val="-1"/>
          <w:position w:val="-1"/>
        </w:rPr>
        <w:t>c</w:t>
      </w:r>
      <w:r>
        <w:rPr>
          <w:rFonts w:ascii="Century Gothic" w:cs="Calibri" w:hAnsi="Century Gothic"/>
          <w:position w:val="-1"/>
        </w:rPr>
        <w:t>om</w:t>
      </w:r>
      <w:r>
        <w:rPr>
          <w:rFonts w:ascii="Century Gothic" w:cs="Calibri" w:hAnsi="Century Gothic"/>
          <w:spacing w:val="-1"/>
          <w:position w:val="-1"/>
        </w:rPr>
        <w:t>mun</w:t>
      </w:r>
      <w:r>
        <w:rPr>
          <w:rFonts w:ascii="Century Gothic" w:cs="Calibri" w:hAnsi="Century Gothic"/>
          <w:position w:val="-1"/>
        </w:rPr>
        <w:t xml:space="preserve">e </w:t>
      </w:r>
      <w:r>
        <w:rPr>
          <w:rFonts w:ascii="Century Gothic" w:cs="Calibri" w:hAnsi="Century Gothic"/>
          <w:spacing w:val="2"/>
          <w:position w:val="-1"/>
        </w:rPr>
        <w:t>r</w:t>
      </w:r>
      <w:r>
        <w:rPr>
          <w:rFonts w:ascii="Century Gothic" w:cs="Calibri" w:hAnsi="Century Gothic"/>
          <w:spacing w:val="-1"/>
          <w:position w:val="-1"/>
        </w:rPr>
        <w:t>u</w:t>
      </w:r>
      <w:r>
        <w:rPr>
          <w:rFonts w:ascii="Century Gothic" w:cs="Calibri" w:hAnsi="Century Gothic"/>
          <w:position w:val="-1"/>
        </w:rPr>
        <w:t>r</w:t>
      </w:r>
      <w:r>
        <w:rPr>
          <w:rFonts w:ascii="Century Gothic" w:cs="Calibri" w:hAnsi="Century Gothic"/>
          <w:spacing w:val="-1"/>
          <w:position w:val="-1"/>
        </w:rPr>
        <w:t>a</w:t>
      </w:r>
      <w:r>
        <w:rPr>
          <w:rFonts w:ascii="Century Gothic" w:cs="Calibri" w:hAnsi="Century Gothic"/>
          <w:position w:val="-1"/>
        </w:rPr>
        <w:t>le de Tiéb</w:t>
      </w:r>
      <w:r>
        <w:rPr>
          <w:rFonts w:ascii="Century Gothic" w:cs="Calibri" w:hAnsi="Century Gothic"/>
          <w:spacing w:val="-1"/>
          <w:position w:val="-1"/>
        </w:rPr>
        <w:t>é</w:t>
      </w:r>
      <w:r>
        <w:rPr>
          <w:rFonts w:ascii="Century Gothic" w:cs="Calibri" w:hAnsi="Century Gothic"/>
          <w:spacing w:val="3"/>
          <w:position w:val="-1"/>
        </w:rPr>
        <w:t>l</w:t>
      </w:r>
      <w:r>
        <w:rPr>
          <w:rFonts w:ascii="Century Gothic" w:cs="Calibri" w:hAnsi="Century Gothic"/>
          <w:spacing w:val="-1"/>
          <w:position w:val="-1"/>
        </w:rPr>
        <w:t>é</w:t>
      </w:r>
      <w:r>
        <w:rPr>
          <w:rFonts w:ascii="Century Gothic" w:cs="Calibri" w:hAnsi="Century Gothic"/>
          <w:position w:val="-1"/>
        </w:rPr>
        <w:t>,</w:t>
      </w:r>
    </w:p>
    <w:p>
      <w:pPr>
        <w:pStyle w:val="style179"/>
        <w:widowControl w:val="false"/>
        <w:numPr>
          <w:ilvl w:val="0"/>
          <w:numId w:val="4"/>
        </w:numPr>
        <w:autoSpaceDE w:val="false"/>
        <w:autoSpaceDN w:val="false"/>
        <w:adjustRightInd w:val="false"/>
        <w:ind w:right="75"/>
        <w:jc w:val="both"/>
        <w:rPr>
          <w:rFonts w:ascii="Century Gothic" w:cs="Calibri" w:hAnsi="Century Gothic"/>
          <w:spacing w:val="20"/>
          <w:position w:val="-1"/>
        </w:rPr>
      </w:pPr>
      <w:r>
        <w:rPr>
          <w:rFonts w:ascii="Century Gothic" w:cs="Calibri" w:hAnsi="Century Gothic"/>
          <w:position w:val="-1"/>
        </w:rPr>
        <w:t>A l</w:t>
      </w:r>
      <w:r>
        <w:rPr>
          <w:rFonts w:ascii="Century Gothic" w:cs="Calibri" w:hAnsi="Century Gothic"/>
          <w:spacing w:val="-1"/>
          <w:position w:val="-1"/>
        </w:rPr>
        <w:t>’</w:t>
      </w:r>
      <w:r>
        <w:rPr>
          <w:rFonts w:ascii="Century Gothic" w:cs="Calibri" w:hAnsi="Century Gothic"/>
          <w:spacing w:val="1"/>
          <w:position w:val="-1"/>
        </w:rPr>
        <w:t>E</w:t>
      </w:r>
      <w:r>
        <w:rPr>
          <w:rFonts w:ascii="Century Gothic" w:cs="Calibri" w:hAnsi="Century Gothic"/>
          <w:position w:val="-1"/>
        </w:rPr>
        <w:t xml:space="preserve">st </w:t>
      </w:r>
      <w:r>
        <w:rPr>
          <w:rFonts w:ascii="Century Gothic" w:cs="Calibri" w:hAnsi="Century Gothic"/>
          <w:spacing w:val="-1"/>
          <w:position w:val="-1"/>
        </w:rPr>
        <w:t>e</w:t>
      </w:r>
      <w:r>
        <w:rPr>
          <w:rFonts w:ascii="Century Gothic" w:cs="Calibri" w:hAnsi="Century Gothic"/>
          <w:position w:val="-1"/>
        </w:rPr>
        <w:t>t à l</w:t>
      </w:r>
      <w:r>
        <w:rPr>
          <w:rFonts w:ascii="Century Gothic" w:cs="Calibri" w:hAnsi="Century Gothic"/>
          <w:spacing w:val="-1"/>
          <w:position w:val="-1"/>
        </w:rPr>
        <w:t>’</w:t>
      </w:r>
      <w:r>
        <w:rPr>
          <w:rFonts w:ascii="Century Gothic" w:cs="Calibri" w:hAnsi="Century Gothic"/>
          <w:position w:val="-1"/>
        </w:rPr>
        <w:t>O</w:t>
      </w:r>
      <w:r>
        <w:rPr>
          <w:rFonts w:ascii="Century Gothic" w:cs="Calibri" w:hAnsi="Century Gothic"/>
          <w:spacing w:val="-1"/>
          <w:position w:val="-1"/>
        </w:rPr>
        <w:t>ue</w:t>
      </w:r>
      <w:r>
        <w:rPr>
          <w:rFonts w:ascii="Century Gothic" w:cs="Calibri" w:hAnsi="Century Gothic"/>
          <w:position w:val="-1"/>
        </w:rPr>
        <w:t xml:space="preserve">st par la </w:t>
      </w:r>
      <w:r>
        <w:rPr>
          <w:rFonts w:ascii="Century Gothic" w:cs="Calibri" w:hAnsi="Century Gothic"/>
          <w:spacing w:val="-1"/>
        </w:rPr>
        <w:t>c</w:t>
      </w:r>
      <w:r>
        <w:rPr>
          <w:rFonts w:ascii="Century Gothic" w:cs="Calibri" w:hAnsi="Century Gothic"/>
        </w:rPr>
        <w:t>om</w:t>
      </w:r>
      <w:r>
        <w:rPr>
          <w:rFonts w:ascii="Century Gothic" w:cs="Calibri" w:hAnsi="Century Gothic"/>
          <w:spacing w:val="-1"/>
        </w:rPr>
        <w:t>mun</w:t>
      </w:r>
      <w:r>
        <w:rPr>
          <w:rFonts w:ascii="Century Gothic" w:cs="Calibri" w:hAnsi="Century Gothic"/>
        </w:rPr>
        <w:t>e ru</w:t>
      </w:r>
      <w:r>
        <w:rPr>
          <w:rFonts w:ascii="Century Gothic" w:cs="Calibri" w:hAnsi="Century Gothic"/>
          <w:spacing w:val="-1"/>
        </w:rPr>
        <w:t>ra</w:t>
      </w:r>
      <w:r>
        <w:rPr>
          <w:rFonts w:ascii="Century Gothic" w:cs="Calibri" w:hAnsi="Century Gothic"/>
        </w:rPr>
        <w:t xml:space="preserve">le </w:t>
      </w:r>
      <w:r>
        <w:rPr>
          <w:rFonts w:ascii="Century Gothic" w:cs="Calibri" w:hAnsi="Century Gothic"/>
          <w:spacing w:val="1"/>
        </w:rPr>
        <w:t>d</w:t>
      </w:r>
      <w:r>
        <w:rPr>
          <w:rFonts w:ascii="Century Gothic" w:cs="Calibri" w:hAnsi="Century Gothic"/>
        </w:rPr>
        <w:t>e Z</w:t>
      </w:r>
      <w:r>
        <w:rPr>
          <w:rFonts w:ascii="Century Gothic" w:cs="Calibri" w:hAnsi="Century Gothic"/>
          <w:spacing w:val="-1"/>
        </w:rPr>
        <w:t>i</w:t>
      </w:r>
      <w:r>
        <w:rPr>
          <w:rFonts w:ascii="Century Gothic" w:cs="Calibri" w:hAnsi="Century Gothic"/>
        </w:rPr>
        <w:t>o</w:t>
      </w:r>
      <w:r>
        <w:rPr>
          <w:rFonts w:ascii="Century Gothic" w:cs="Calibri" w:hAnsi="Century Gothic"/>
          <w:spacing w:val="-1"/>
        </w:rPr>
        <w:t>u</w:t>
      </w:r>
      <w:r>
        <w:rPr>
          <w:rFonts w:ascii="Century Gothic" w:cs="Calibri" w:hAnsi="Century Gothic"/>
        </w:rPr>
        <w:t>,</w:t>
      </w:r>
    </w:p>
    <w:p>
      <w:pPr>
        <w:pStyle w:val="style179"/>
        <w:widowControl w:val="false"/>
        <w:numPr>
          <w:ilvl w:val="0"/>
          <w:numId w:val="4"/>
        </w:numPr>
        <w:autoSpaceDE w:val="false"/>
        <w:autoSpaceDN w:val="false"/>
        <w:adjustRightInd w:val="false"/>
        <w:ind w:right="75"/>
        <w:jc w:val="both"/>
        <w:rPr>
          <w:rFonts w:ascii="Century Gothic" w:cs="Calibri" w:hAnsi="Century Gothic"/>
          <w:spacing w:val="20"/>
          <w:position w:val="-1"/>
        </w:rPr>
      </w:pPr>
      <w:r>
        <w:rPr>
          <w:rFonts w:ascii="Century Gothic" w:cs="Calibri" w:hAnsi="Century Gothic"/>
          <w:spacing w:val="-1"/>
        </w:rPr>
        <w:t>E</w:t>
      </w:r>
      <w:r>
        <w:rPr>
          <w:rFonts w:ascii="Century Gothic" w:cs="Calibri" w:hAnsi="Century Gothic"/>
        </w:rPr>
        <w:t xml:space="preserve">t </w:t>
      </w:r>
      <w:r>
        <w:rPr>
          <w:rFonts w:ascii="Century Gothic" w:cs="Calibri" w:hAnsi="Century Gothic"/>
          <w:spacing w:val="-1"/>
        </w:rPr>
        <w:t>a</w:t>
      </w:r>
      <w:r>
        <w:rPr>
          <w:rFonts w:ascii="Century Gothic" w:cs="Calibri" w:hAnsi="Century Gothic"/>
        </w:rPr>
        <w:t>u S</w:t>
      </w:r>
      <w:r>
        <w:rPr>
          <w:rFonts w:ascii="Century Gothic" w:cs="Calibri" w:hAnsi="Century Gothic"/>
          <w:spacing w:val="-1"/>
        </w:rPr>
        <w:t>u</w:t>
      </w:r>
      <w:r>
        <w:rPr>
          <w:rFonts w:ascii="Century Gothic" w:cs="Calibri" w:hAnsi="Century Gothic"/>
        </w:rPr>
        <w:t>d par la R</w:t>
      </w:r>
      <w:r>
        <w:rPr>
          <w:rFonts w:ascii="Century Gothic" w:cs="Calibri" w:hAnsi="Century Gothic"/>
          <w:spacing w:val="-1"/>
        </w:rPr>
        <w:t>é</w:t>
      </w:r>
      <w:r>
        <w:rPr>
          <w:rFonts w:ascii="Century Gothic" w:cs="Calibri" w:hAnsi="Century Gothic"/>
        </w:rPr>
        <w:t>p</w:t>
      </w:r>
      <w:r>
        <w:rPr>
          <w:rFonts w:ascii="Century Gothic" w:cs="Calibri" w:hAnsi="Century Gothic"/>
          <w:spacing w:val="-3"/>
        </w:rPr>
        <w:t>u</w:t>
      </w:r>
      <w:r>
        <w:rPr>
          <w:rFonts w:ascii="Century Gothic" w:cs="Calibri" w:hAnsi="Century Gothic"/>
        </w:rPr>
        <w:t>bl</w:t>
      </w:r>
      <w:r>
        <w:rPr>
          <w:rFonts w:ascii="Century Gothic" w:cs="Calibri" w:hAnsi="Century Gothic"/>
          <w:spacing w:val="-2"/>
        </w:rPr>
        <w:t>i</w:t>
      </w:r>
      <w:r>
        <w:rPr>
          <w:rFonts w:ascii="Century Gothic" w:cs="Calibri" w:hAnsi="Century Gothic"/>
        </w:rPr>
        <w:t xml:space="preserve">que </w:t>
      </w:r>
      <w:r>
        <w:rPr>
          <w:rFonts w:ascii="Century Gothic" w:cs="Calibri" w:hAnsi="Century Gothic"/>
          <w:spacing w:val="1"/>
        </w:rPr>
        <w:t>d</w:t>
      </w:r>
      <w:r>
        <w:rPr>
          <w:rFonts w:ascii="Century Gothic" w:cs="Calibri" w:hAnsi="Century Gothic"/>
        </w:rPr>
        <w:t>u G</w:t>
      </w:r>
      <w:r>
        <w:rPr>
          <w:rFonts w:ascii="Century Gothic" w:cs="Calibri" w:hAnsi="Century Gothic"/>
          <w:spacing w:val="-1"/>
        </w:rPr>
        <w:t>hana</w:t>
      </w:r>
      <w:r>
        <w:rPr>
          <w:rFonts w:ascii="Century Gothic" w:cs="Calibri" w:hAnsi="Century Gothic"/>
        </w:rPr>
        <w:t>.</w:t>
      </w:r>
    </w:p>
    <w:p>
      <w:pPr>
        <w:pStyle w:val="style4254"/>
        <w:spacing w:after="0" w:lineRule="auto" w:line="240"/>
        <w:ind w:left="720"/>
        <w:jc w:val="center"/>
        <w:rPr>
          <w:rFonts w:ascii="Century Gothic" w:hAnsi="Century Gothic"/>
          <w:szCs w:val="24"/>
        </w:rPr>
      </w:pPr>
      <w:r>
        <w:rPr>
          <w:rFonts w:ascii="Century Gothic" w:hAnsi="Century Gothic"/>
          <w:noProof/>
          <w:szCs w:val="24"/>
          <w:lang w:eastAsia="fr-FR"/>
        </w:rPr>
        <mc:AlternateContent>
          <mc:Choice Requires="wpg">
            <w:drawing>
              <wp:anchor distT="0" distB="0" distL="0" distR="0" simplePos="false" relativeHeight="9" behindDoc="false" locked="false" layoutInCell="true" allowOverlap="true">
                <wp:simplePos x="0" y="0"/>
                <wp:positionH relativeFrom="column">
                  <wp:posOffset>686679</wp:posOffset>
                </wp:positionH>
                <wp:positionV relativeFrom="paragraph">
                  <wp:posOffset>129296</wp:posOffset>
                </wp:positionV>
                <wp:extent cx="4754343" cy="6302326"/>
                <wp:effectExtent l="0" t="0" r="8255" b="3810"/>
                <wp:wrapNone/>
                <wp:docPr id="1027" name="Groupe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54343" cy="6302326"/>
                          <a:chOff x="0" y="0"/>
                          <a:chExt cx="4754343" cy="6302326"/>
                        </a:xfrm>
                      </wpg:grpSpPr>
                      <pic:pic xmlns:pic="http://schemas.openxmlformats.org/drawingml/2006/picture">
                        <pic:nvPicPr>
                          <pic:cNvPr id="1" name="Image"/>
                          <pic:cNvPicPr/>
                        </pic:nvPicPr>
                        <pic:blipFill>
                          <a:blip r:embed="rId4" cstate="print"/>
                          <a:srcRect l="0" t="0" r="0" b="0"/>
                          <a:stretch/>
                        </pic:blipFill>
                        <pic:spPr>
                          <a:xfrm rot="0">
                            <a:off x="14068" y="0"/>
                            <a:ext cx="4740275" cy="6035040"/>
                          </a:xfrm>
                          <a:prstGeom prst="rect"/>
                          <a:ln>
                            <a:noFill/>
                          </a:ln>
                        </pic:spPr>
                      </pic:pic>
                      <wps:wsp>
                        <wps:cNvSpPr/>
                        <wps:spPr>
                          <a:xfrm rot="0">
                            <a:off x="0" y="5992837"/>
                            <a:ext cx="4698609" cy="309489"/>
                          </a:xfrm>
                          <a:prstGeom prst="rect"/>
                          <a:solidFill>
                            <a:srgbClr val="ffffff"/>
                          </a:solidFill>
                          <a:ln>
                            <a:noFill/>
                          </a:ln>
                        </wps:spPr>
                        <wps:txbx id="1029">
                          <w:txbxContent>
                            <w:p>
                              <w:pPr>
                                <w:pStyle w:val="style0"/>
                                <w:jc w:val="center"/>
                                <w:rPr/>
                              </w:pPr>
                              <w:bookmarkStart w:id="8" w:name="_Toc82049017"/>
                              <w:r>
                                <w:rPr>
                                  <w:rFonts w:ascii="Century Gothic" w:hAnsi="Century Gothic"/>
                                  <w:sz w:val="20"/>
                                  <w:szCs w:val="20"/>
                                </w:rPr>
                                <w:t xml:space="preserve">Figure </w:t>
                              </w:r>
                              <w:r>
                                <w:rPr>
                                  <w:rFonts w:ascii="Century Gothic" w:hAnsi="Century Gothic"/>
                                  <w:sz w:val="20"/>
                                  <w:szCs w:val="20"/>
                                </w:rPr>
                                <w:fldChar w:fldCharType="begin"/>
                              </w:r>
                              <w:r>
                                <w:rPr>
                                  <w:rFonts w:ascii="Century Gothic" w:hAnsi="Century Gothic"/>
                                  <w:sz w:val="20"/>
                                  <w:szCs w:val="20"/>
                                </w:rPr>
                                <w:instrText xml:space="preserve"> SEQ Figure \* ARABIC </w:instrText>
                              </w:r>
                              <w:r>
                                <w:rPr>
                                  <w:rFonts w:ascii="Century Gothic" w:hAnsi="Century Gothic"/>
                                  <w:sz w:val="20"/>
                                  <w:szCs w:val="20"/>
                                </w:rPr>
                                <w:fldChar w:fldCharType="separate"/>
                              </w:r>
                              <w:r>
                                <w:rPr>
                                  <w:rFonts w:ascii="Century Gothic" w:hAnsi="Century Gothic"/>
                                  <w:noProof/>
                                  <w:sz w:val="20"/>
                                  <w:szCs w:val="20"/>
                                </w:rPr>
                                <w:t>1</w:t>
                              </w:r>
                              <w:r>
                                <w:rPr>
                                  <w:rFonts w:ascii="Century Gothic" w:hAnsi="Century Gothic"/>
                                  <w:sz w:val="20"/>
                                  <w:szCs w:val="20"/>
                                </w:rPr>
                                <w:fldChar w:fldCharType="end"/>
                              </w:r>
                              <w:r>
                                <w:rPr>
                                  <w:rFonts w:ascii="Century Gothic" w:hAnsi="Century Gothic"/>
                                  <w:sz w:val="20"/>
                                  <w:szCs w:val="20"/>
                                </w:rPr>
                                <w:t>: Localisation de la commune de Zecco</w:t>
                              </w:r>
                              <w:bookmarkEnd w:id="8"/>
                            </w:p>
                          </w:txbxContent>
                        </wps:txbx>
                        <wps:bodyPr lIns="91440" rIns="91440" tIns="45720" bIns="45720" vert="horz" anchor="t" wrap="square">
                          <a:prstTxWarp prst="textNoShape"/>
                          <a:noAutofit/>
                        </wps:bodyPr>
                      </wps:wsp>
                    </wpg:wgp>
                  </a:graphicData>
                </a:graphic>
              </wp:anchor>
            </w:drawing>
          </mc:Choice>
          <mc:Fallback>
            <w:pict>
              <v:group id="1027" filled="f" stroked="f" style="position:absolute;margin-left:54.07pt;margin-top:10.18pt;width:374.36pt;height:496.25pt;z-index:9;mso-position-horizontal-relative:text;mso-position-vertical-relative:text;mso-width-relative:page;mso-height-relative:page;mso-wrap-distance-left:0.0pt;mso-wrap-distance-right:0.0pt;visibility:visible;" coordsize="4754343,6302326">
                <v:shape id="1028" type="#_x0000_t75" filled="f" stroked="f" style="position:absolute;left:14068;top:0;width:4740275;height:6035040;z-index:2;mso-position-horizontal-relative:page;mso-position-vertical-relative:page;mso-width-relative:page;mso-height-relative:page;visibility:visible;">
                  <v:imagedata r:id="rId4" embosscolor="white" o:title=""/>
                  <v:stroke on="f"/>
                  <v:fill/>
                </v:shape>
                <v:rect id="1029" fillcolor="white" stroked="f" style="position:absolute;left:0;top:5992837;width:4698609;height:309489;z-index:3;mso-position-horizontal-relative:page;mso-position-vertical-relative:page;mso-width-relative:page;mso-height-relative:page;visibility:visible;">
                  <v:stroke on="f" weight="0.5pt"/>
                  <v:fill/>
                  <v:textbox inset="7.2pt,3.6pt,7.2pt,3.6pt">
                    <w:txbxContent>
                      <w:p>
                        <w:pPr>
                          <w:pStyle w:val="style0"/>
                          <w:jc w:val="center"/>
                          <w:rPr/>
                        </w:pPr>
                        <w:r>
                          <w:rPr>
                            <w:rFonts w:ascii="Century Gothic" w:hAnsi="Century Gothic"/>
                            <w:sz w:val="20"/>
                            <w:szCs w:val="20"/>
                          </w:rPr>
                          <w:t xml:space="preserve">Figure </w:t>
                        </w:r>
                        <w:r>
                          <w:rPr>
                            <w:rFonts w:ascii="Century Gothic" w:hAnsi="Century Gothic"/>
                            <w:sz w:val="20"/>
                            <w:szCs w:val="20"/>
                          </w:rPr>
                          <w:fldChar w:fldCharType="begin"/>
                        </w:r>
                        <w:r>
                          <w:rPr>
                            <w:rFonts w:ascii="Century Gothic" w:hAnsi="Century Gothic"/>
                            <w:sz w:val="20"/>
                            <w:szCs w:val="20"/>
                          </w:rPr>
                          <w:instrText xml:space="preserve"> SEQ Figure \* ARABIC </w:instrText>
                        </w:r>
                        <w:r>
                          <w:rPr>
                            <w:rFonts w:ascii="Century Gothic" w:hAnsi="Century Gothic"/>
                            <w:sz w:val="20"/>
                            <w:szCs w:val="20"/>
                          </w:rPr>
                          <w:fldChar w:fldCharType="separate"/>
                        </w:r>
                        <w:r>
                          <w:rPr>
                            <w:rFonts w:ascii="Century Gothic" w:hAnsi="Century Gothic"/>
                            <w:noProof/>
                            <w:sz w:val="20"/>
                            <w:szCs w:val="20"/>
                          </w:rPr>
                          <w:t>1</w:t>
                        </w:r>
                        <w:r>
                          <w:rPr>
                            <w:rFonts w:ascii="Century Gothic" w:hAnsi="Century Gothic"/>
                            <w:sz w:val="20"/>
                            <w:szCs w:val="20"/>
                          </w:rPr>
                          <w:fldChar w:fldCharType="end"/>
                        </w:r>
                        <w:r>
                          <w:rPr>
                            <w:rFonts w:ascii="Century Gothic" w:hAnsi="Century Gothic"/>
                            <w:sz w:val="20"/>
                            <w:szCs w:val="20"/>
                          </w:rPr>
                          <w:t>: Localisation de la commune de Zecco</w:t>
                        </w:r>
                      </w:p>
                    </w:txbxContent>
                  </v:textbox>
                </v:rect>
                <v:fill/>
              </v:group>
            </w:pict>
          </mc:Fallback>
        </mc:AlternateContent>
      </w: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4254"/>
        <w:spacing w:after="0" w:lineRule="auto" w:line="240"/>
        <w:ind w:left="720"/>
        <w:jc w:val="center"/>
        <w:rPr>
          <w:rFonts w:ascii="Century Gothic" w:hAnsi="Century Gothic"/>
          <w:szCs w:val="24"/>
        </w:rPr>
      </w:pPr>
    </w:p>
    <w:p>
      <w:pPr>
        <w:pStyle w:val="style0"/>
        <w:spacing w:after="160" w:lineRule="auto" w:line="259"/>
        <w:rPr>
          <w:rFonts w:ascii="Century Gothic" w:cs="Tahoma" w:eastAsia="Calibri" w:hAnsi="Century Gothic"/>
          <w:b/>
          <w:lang w:eastAsia="en-US"/>
        </w:rPr>
      </w:pPr>
      <w:r>
        <w:rPr>
          <w:rFonts w:ascii="Century Gothic" w:hAnsi="Century Gothic"/>
        </w:rPr>
        <w:br w:type="page"/>
      </w:r>
    </w:p>
    <w:p>
      <w:pPr>
        <w:pStyle w:val="style4254"/>
        <w:spacing w:after="0" w:lineRule="auto" w:line="240"/>
        <w:ind w:left="720"/>
        <w:jc w:val="center"/>
        <w:rPr>
          <w:rFonts w:ascii="Century Gothic" w:hAnsi="Century Gothic"/>
          <w:szCs w:val="24"/>
        </w:rPr>
      </w:pPr>
    </w:p>
    <w:p>
      <w:pPr>
        <w:pStyle w:val="style34"/>
        <w:spacing w:after="0"/>
        <w:jc w:val="both"/>
        <w:rPr>
          <w:rFonts w:ascii="Century Gothic" w:cs="Calibri" w:hAnsi="Century Gothic"/>
          <w:b w:val="false"/>
          <w:color w:val="auto"/>
          <w:sz w:val="24"/>
          <w:szCs w:val="24"/>
        </w:rPr>
      </w:pPr>
      <w:r>
        <w:rPr>
          <w:rFonts w:ascii="Century Gothic" w:cs="Calibri" w:hAnsi="Century Gothic"/>
          <w:b w:val="false"/>
          <w:color w:val="auto"/>
          <w:sz w:val="24"/>
          <w:szCs w:val="24"/>
        </w:rPr>
        <w:t xml:space="preserve">La </w:t>
      </w:r>
      <w:r>
        <w:rPr>
          <w:rFonts w:ascii="Century Gothic" w:cs="Calibri" w:hAnsi="Century Gothic"/>
          <w:b w:val="false"/>
          <w:color w:val="auto"/>
          <w:sz w:val="24"/>
          <w:szCs w:val="24"/>
        </w:rPr>
        <w:t xml:space="preserve">commune de Zecco a acquis </w:t>
      </w:r>
      <w:r>
        <w:rPr>
          <w:rFonts w:ascii="Century Gothic" w:cs="Calibri" w:hAnsi="Century Gothic"/>
          <w:b w:val="false"/>
          <w:color w:val="auto"/>
          <w:sz w:val="24"/>
          <w:szCs w:val="24"/>
        </w:rPr>
        <w:t>son statut de commune rurale à la faveur de la politique de</w:t>
      </w:r>
      <w:r>
        <w:rPr>
          <w:rFonts w:ascii="Century Gothic" w:cs="Calibri" w:hAnsi="Century Gothic"/>
          <w:color w:val="auto"/>
        </w:rPr>
        <w:t xml:space="preserve"> </w:t>
      </w:r>
      <w:r>
        <w:rPr>
          <w:rFonts w:ascii="Century Gothic" w:cs="Calibri" w:hAnsi="Century Gothic"/>
          <w:b w:val="false"/>
          <w:color w:val="auto"/>
          <w:sz w:val="24"/>
          <w:szCs w:val="24"/>
        </w:rPr>
        <w:t xml:space="preserve">Décentralisation adoptée par le gouvernement du Burkina Faso en 2004 à travers la promulgation de la loi N°055-2004/AN portant Code Général des collectivités Territoriales au Burkina Faso. La </w:t>
      </w:r>
      <w:r>
        <w:rPr>
          <w:rFonts w:ascii="Century Gothic" w:cs="Calibri" w:hAnsi="Century Gothic"/>
          <w:b w:val="false"/>
          <w:color w:val="auto"/>
          <w:spacing w:val="-1"/>
          <w:sz w:val="24"/>
          <w:szCs w:val="24"/>
        </w:rPr>
        <w:t>c</w:t>
      </w:r>
      <w:r>
        <w:rPr>
          <w:rFonts w:ascii="Century Gothic" w:cs="Calibri" w:hAnsi="Century Gothic"/>
          <w:b w:val="false"/>
          <w:color w:val="auto"/>
          <w:sz w:val="24"/>
          <w:szCs w:val="24"/>
        </w:rPr>
        <w:t>om</w:t>
      </w:r>
      <w:r>
        <w:rPr>
          <w:rFonts w:ascii="Century Gothic" w:cs="Calibri" w:hAnsi="Century Gothic"/>
          <w:b w:val="false"/>
          <w:color w:val="auto"/>
          <w:spacing w:val="-1"/>
          <w:sz w:val="24"/>
          <w:szCs w:val="24"/>
        </w:rPr>
        <w:t>mun</w:t>
      </w:r>
      <w:r>
        <w:rPr>
          <w:rFonts w:ascii="Century Gothic" w:cs="Calibri" w:hAnsi="Century Gothic"/>
          <w:b w:val="false"/>
          <w:color w:val="auto"/>
          <w:sz w:val="24"/>
          <w:szCs w:val="24"/>
        </w:rPr>
        <w:t>e r</w:t>
      </w:r>
      <w:r>
        <w:rPr>
          <w:rFonts w:ascii="Century Gothic" w:cs="Calibri" w:hAnsi="Century Gothic"/>
          <w:b w:val="false"/>
          <w:color w:val="auto"/>
          <w:spacing w:val="-1"/>
          <w:sz w:val="24"/>
          <w:szCs w:val="24"/>
        </w:rPr>
        <w:t>u</w:t>
      </w:r>
      <w:r>
        <w:rPr>
          <w:rFonts w:ascii="Century Gothic" w:cs="Calibri" w:hAnsi="Century Gothic"/>
          <w:b w:val="false"/>
          <w:color w:val="auto"/>
          <w:sz w:val="24"/>
          <w:szCs w:val="24"/>
        </w:rPr>
        <w:t>r</w:t>
      </w:r>
      <w:r>
        <w:rPr>
          <w:rFonts w:ascii="Century Gothic" w:cs="Calibri" w:hAnsi="Century Gothic"/>
          <w:b w:val="false"/>
          <w:color w:val="auto"/>
          <w:spacing w:val="-1"/>
          <w:sz w:val="24"/>
          <w:szCs w:val="24"/>
        </w:rPr>
        <w:t>a</w:t>
      </w:r>
      <w:r>
        <w:rPr>
          <w:rFonts w:ascii="Century Gothic" w:cs="Calibri" w:hAnsi="Century Gothic"/>
          <w:b w:val="false"/>
          <w:color w:val="auto"/>
          <w:sz w:val="24"/>
          <w:szCs w:val="24"/>
        </w:rPr>
        <w:t xml:space="preserve">le de </w:t>
      </w:r>
      <w:r>
        <w:rPr>
          <w:rFonts w:ascii="Century Gothic" w:cs="Calibri" w:hAnsi="Century Gothic"/>
          <w:b w:val="false"/>
          <w:color w:val="auto"/>
          <w:spacing w:val="-1"/>
          <w:sz w:val="24"/>
          <w:szCs w:val="24"/>
        </w:rPr>
        <w:t>Zecc</w:t>
      </w:r>
      <w:r>
        <w:rPr>
          <w:rFonts w:ascii="Century Gothic" w:cs="Calibri" w:hAnsi="Century Gothic"/>
          <w:b w:val="false"/>
          <w:color w:val="auto"/>
          <w:sz w:val="24"/>
          <w:szCs w:val="24"/>
        </w:rPr>
        <w:t xml:space="preserve">o </w:t>
      </w:r>
      <w:r>
        <w:rPr>
          <w:rFonts w:ascii="Century Gothic" w:cs="Calibri" w:hAnsi="Century Gothic"/>
          <w:b w:val="false"/>
          <w:color w:val="auto"/>
          <w:spacing w:val="-1"/>
          <w:sz w:val="24"/>
          <w:szCs w:val="24"/>
        </w:rPr>
        <w:t>c</w:t>
      </w:r>
      <w:r>
        <w:rPr>
          <w:rFonts w:ascii="Century Gothic" w:cs="Calibri" w:hAnsi="Century Gothic"/>
          <w:b w:val="false"/>
          <w:color w:val="auto"/>
          <w:sz w:val="24"/>
          <w:szCs w:val="24"/>
        </w:rPr>
        <w:t>ompte 11 villages que so</w:t>
      </w:r>
      <w:r>
        <w:rPr>
          <w:rFonts w:ascii="Century Gothic" w:cs="Calibri" w:hAnsi="Century Gothic"/>
          <w:b w:val="false"/>
          <w:color w:val="auto"/>
          <w:spacing w:val="-1"/>
          <w:sz w:val="24"/>
          <w:szCs w:val="24"/>
        </w:rPr>
        <w:t>n</w:t>
      </w:r>
      <w:r>
        <w:rPr>
          <w:rFonts w:ascii="Century Gothic" w:cs="Calibri" w:hAnsi="Century Gothic"/>
          <w:b w:val="false"/>
          <w:color w:val="auto"/>
          <w:sz w:val="24"/>
          <w:szCs w:val="24"/>
        </w:rPr>
        <w:t>t : B</w:t>
      </w:r>
      <w:r>
        <w:rPr>
          <w:rFonts w:ascii="Century Gothic" w:cs="Calibri" w:hAnsi="Century Gothic"/>
          <w:b w:val="false"/>
          <w:color w:val="auto"/>
          <w:spacing w:val="-1"/>
          <w:sz w:val="24"/>
          <w:szCs w:val="24"/>
        </w:rPr>
        <w:t>a</w:t>
      </w:r>
      <w:r>
        <w:rPr>
          <w:rFonts w:ascii="Century Gothic" w:cs="Calibri" w:hAnsi="Century Gothic"/>
          <w:b w:val="false"/>
          <w:color w:val="auto"/>
          <w:sz w:val="24"/>
          <w:szCs w:val="24"/>
        </w:rPr>
        <w:t>rr</w:t>
      </w:r>
      <w:r>
        <w:rPr>
          <w:rFonts w:ascii="Century Gothic" w:cs="Calibri" w:hAnsi="Century Gothic"/>
          <w:b w:val="false"/>
          <w:color w:val="auto"/>
          <w:spacing w:val="-2"/>
          <w:sz w:val="24"/>
          <w:szCs w:val="24"/>
        </w:rPr>
        <w:t>é</w:t>
      </w:r>
      <w:r>
        <w:rPr>
          <w:rFonts w:ascii="Century Gothic" w:cs="Calibri" w:hAnsi="Century Gothic"/>
          <w:b w:val="false"/>
          <w:color w:val="auto"/>
          <w:sz w:val="24"/>
          <w:szCs w:val="24"/>
        </w:rPr>
        <w:t>, B</w:t>
      </w:r>
      <w:r>
        <w:rPr>
          <w:rFonts w:ascii="Century Gothic" w:cs="Calibri" w:hAnsi="Century Gothic"/>
          <w:b w:val="false"/>
          <w:color w:val="auto"/>
          <w:spacing w:val="-3"/>
          <w:sz w:val="24"/>
          <w:szCs w:val="24"/>
        </w:rPr>
        <w:t>o</w:t>
      </w:r>
      <w:r>
        <w:rPr>
          <w:rFonts w:ascii="Century Gothic" w:cs="Calibri" w:hAnsi="Century Gothic"/>
          <w:b w:val="false"/>
          <w:color w:val="auto"/>
          <w:spacing w:val="-1"/>
          <w:sz w:val="24"/>
          <w:szCs w:val="24"/>
        </w:rPr>
        <w:t>u</w:t>
      </w:r>
      <w:r>
        <w:rPr>
          <w:rFonts w:ascii="Century Gothic" w:cs="Calibri" w:hAnsi="Century Gothic"/>
          <w:b w:val="false"/>
          <w:color w:val="auto"/>
          <w:sz w:val="24"/>
          <w:szCs w:val="24"/>
        </w:rPr>
        <w:t>ro</w:t>
      </w:r>
      <w:r>
        <w:rPr>
          <w:rFonts w:ascii="Century Gothic" w:cs="Calibri" w:hAnsi="Century Gothic"/>
          <w:b w:val="false"/>
          <w:color w:val="auto"/>
          <w:spacing w:val="-1"/>
          <w:sz w:val="24"/>
          <w:szCs w:val="24"/>
        </w:rPr>
        <w:t>uma</w:t>
      </w:r>
      <w:r>
        <w:rPr>
          <w:rFonts w:ascii="Century Gothic" w:cs="Calibri" w:hAnsi="Century Gothic"/>
          <w:b w:val="false"/>
          <w:color w:val="auto"/>
          <w:sz w:val="24"/>
          <w:szCs w:val="24"/>
        </w:rPr>
        <w:t xml:space="preserve">, </w:t>
      </w:r>
      <w:r>
        <w:rPr>
          <w:rFonts w:ascii="Century Gothic" w:cs="Calibri" w:hAnsi="Century Gothic"/>
          <w:b w:val="false"/>
          <w:color w:val="auto"/>
          <w:spacing w:val="-1"/>
          <w:sz w:val="24"/>
          <w:szCs w:val="24"/>
        </w:rPr>
        <w:t>Ga</w:t>
      </w:r>
      <w:r>
        <w:rPr>
          <w:rFonts w:ascii="Century Gothic" w:cs="Calibri" w:hAnsi="Century Gothic"/>
          <w:b w:val="false"/>
          <w:color w:val="auto"/>
          <w:sz w:val="24"/>
          <w:szCs w:val="24"/>
        </w:rPr>
        <w:t>r</w:t>
      </w:r>
      <w:r>
        <w:rPr>
          <w:rFonts w:ascii="Century Gothic" w:cs="Calibri" w:hAnsi="Century Gothic"/>
          <w:b w:val="false"/>
          <w:color w:val="auto"/>
          <w:spacing w:val="-1"/>
          <w:sz w:val="24"/>
          <w:szCs w:val="24"/>
        </w:rPr>
        <w:t>w</w:t>
      </w:r>
      <w:r>
        <w:rPr>
          <w:rFonts w:ascii="Century Gothic" w:cs="Calibri" w:hAnsi="Century Gothic"/>
          <w:b w:val="false"/>
          <w:color w:val="auto"/>
          <w:sz w:val="24"/>
          <w:szCs w:val="24"/>
        </w:rPr>
        <w:t>e</w:t>
      </w:r>
      <w:r>
        <w:rPr>
          <w:rFonts w:ascii="Century Gothic" w:cs="Calibri" w:hAnsi="Century Gothic"/>
          <w:b w:val="false"/>
          <w:color w:val="auto"/>
          <w:spacing w:val="-1"/>
          <w:sz w:val="24"/>
          <w:szCs w:val="24"/>
        </w:rPr>
        <w:t>n</w:t>
      </w:r>
      <w:r>
        <w:rPr>
          <w:rFonts w:ascii="Century Gothic" w:cs="Calibri" w:hAnsi="Century Gothic"/>
          <w:b w:val="false"/>
          <w:color w:val="auto"/>
          <w:sz w:val="24"/>
          <w:szCs w:val="24"/>
        </w:rPr>
        <w:t xml:space="preserve">dé, </w:t>
      </w:r>
      <w:r>
        <w:rPr>
          <w:rFonts w:ascii="Century Gothic" w:cs="Calibri" w:hAnsi="Century Gothic"/>
          <w:b w:val="false"/>
          <w:color w:val="auto"/>
          <w:spacing w:val="-1"/>
          <w:sz w:val="24"/>
          <w:szCs w:val="24"/>
        </w:rPr>
        <w:t>G</w:t>
      </w:r>
      <w:r>
        <w:rPr>
          <w:rFonts w:ascii="Century Gothic" w:cs="Calibri" w:hAnsi="Century Gothic"/>
          <w:b w:val="false"/>
          <w:color w:val="auto"/>
          <w:sz w:val="24"/>
          <w:szCs w:val="24"/>
        </w:rPr>
        <w:t>o</w:t>
      </w:r>
      <w:r>
        <w:rPr>
          <w:rFonts w:ascii="Century Gothic" w:cs="Calibri" w:hAnsi="Century Gothic"/>
          <w:b w:val="false"/>
          <w:color w:val="auto"/>
          <w:spacing w:val="-1"/>
          <w:sz w:val="24"/>
          <w:szCs w:val="24"/>
        </w:rPr>
        <w:t>n</w:t>
      </w:r>
      <w:r>
        <w:rPr>
          <w:rFonts w:ascii="Century Gothic" w:cs="Calibri" w:hAnsi="Century Gothic"/>
          <w:b w:val="false"/>
          <w:color w:val="auto"/>
          <w:sz w:val="24"/>
          <w:szCs w:val="24"/>
        </w:rPr>
        <w:t>r</w:t>
      </w:r>
      <w:r>
        <w:rPr>
          <w:rFonts w:ascii="Century Gothic" w:cs="Calibri" w:hAnsi="Century Gothic"/>
          <w:b w:val="false"/>
          <w:color w:val="auto"/>
          <w:spacing w:val="-1"/>
          <w:sz w:val="24"/>
          <w:szCs w:val="24"/>
        </w:rPr>
        <w:t>é</w:t>
      </w:r>
      <w:r>
        <w:rPr>
          <w:rFonts w:ascii="Century Gothic" w:cs="Calibri" w:hAnsi="Century Gothic"/>
          <w:b w:val="false"/>
          <w:color w:val="auto"/>
          <w:sz w:val="24"/>
          <w:szCs w:val="24"/>
        </w:rPr>
        <w:t xml:space="preserve">, </w:t>
      </w:r>
      <w:r>
        <w:rPr>
          <w:rFonts w:ascii="Century Gothic" w:cs="Calibri" w:hAnsi="Century Gothic"/>
          <w:b w:val="false"/>
          <w:color w:val="auto"/>
          <w:spacing w:val="-1"/>
          <w:sz w:val="24"/>
          <w:szCs w:val="24"/>
        </w:rPr>
        <w:t>Gu</w:t>
      </w:r>
      <w:r>
        <w:rPr>
          <w:rFonts w:ascii="Century Gothic" w:cs="Calibri" w:hAnsi="Century Gothic"/>
          <w:b w:val="false"/>
          <w:color w:val="auto"/>
          <w:sz w:val="24"/>
          <w:szCs w:val="24"/>
        </w:rPr>
        <w:t>i</w:t>
      </w:r>
      <w:r>
        <w:rPr>
          <w:rFonts w:ascii="Century Gothic" w:cs="Calibri" w:hAnsi="Century Gothic"/>
          <w:b w:val="false"/>
          <w:color w:val="auto"/>
          <w:spacing w:val="-1"/>
          <w:sz w:val="24"/>
          <w:szCs w:val="24"/>
        </w:rPr>
        <w:t>an</w:t>
      </w:r>
      <w:r>
        <w:rPr>
          <w:rFonts w:ascii="Century Gothic" w:cs="Calibri" w:hAnsi="Century Gothic"/>
          <w:b w:val="false"/>
          <w:color w:val="auto"/>
          <w:sz w:val="24"/>
          <w:szCs w:val="24"/>
        </w:rPr>
        <w:t>, Ko</w:t>
      </w:r>
      <w:r>
        <w:rPr>
          <w:rFonts w:ascii="Century Gothic" w:cs="Calibri" w:hAnsi="Century Gothic"/>
          <w:b w:val="false"/>
          <w:color w:val="auto"/>
          <w:spacing w:val="-1"/>
          <w:sz w:val="24"/>
          <w:szCs w:val="24"/>
        </w:rPr>
        <w:t>n</w:t>
      </w:r>
      <w:r>
        <w:rPr>
          <w:rFonts w:ascii="Century Gothic" w:cs="Calibri" w:hAnsi="Century Gothic"/>
          <w:b w:val="false"/>
          <w:color w:val="auto"/>
          <w:sz w:val="24"/>
          <w:szCs w:val="24"/>
        </w:rPr>
        <w:t xml:space="preserve">koa, </w:t>
      </w:r>
      <w:r>
        <w:rPr>
          <w:rFonts w:ascii="Century Gothic" w:cs="Calibri" w:hAnsi="Century Gothic"/>
          <w:b w:val="false"/>
          <w:color w:val="auto"/>
          <w:spacing w:val="-4"/>
          <w:sz w:val="24"/>
          <w:szCs w:val="24"/>
        </w:rPr>
        <w:t>Z</w:t>
      </w:r>
      <w:r>
        <w:rPr>
          <w:rFonts w:ascii="Century Gothic" w:cs="Calibri" w:hAnsi="Century Gothic"/>
          <w:b w:val="false"/>
          <w:color w:val="auto"/>
          <w:spacing w:val="-1"/>
          <w:sz w:val="24"/>
          <w:szCs w:val="24"/>
        </w:rPr>
        <w:t>ecc</w:t>
      </w:r>
      <w:r>
        <w:rPr>
          <w:rFonts w:ascii="Century Gothic" w:cs="Calibri" w:hAnsi="Century Gothic"/>
          <w:b w:val="false"/>
          <w:color w:val="auto"/>
          <w:spacing w:val="1"/>
          <w:sz w:val="24"/>
          <w:szCs w:val="24"/>
        </w:rPr>
        <w:t>o</w:t>
      </w:r>
      <w:r>
        <w:rPr>
          <w:rFonts w:ascii="Century Gothic" w:cs="Calibri" w:hAnsi="Century Gothic"/>
          <w:b w:val="false"/>
          <w:color w:val="auto"/>
          <w:spacing w:val="-1"/>
          <w:sz w:val="24"/>
          <w:szCs w:val="24"/>
        </w:rPr>
        <w:t>-</w:t>
      </w:r>
      <w:r>
        <w:rPr>
          <w:rFonts w:ascii="Century Gothic" w:cs="Calibri" w:hAnsi="Century Gothic"/>
          <w:b w:val="false"/>
          <w:color w:val="auto"/>
          <w:sz w:val="24"/>
          <w:szCs w:val="24"/>
        </w:rPr>
        <w:t>Y</w:t>
      </w:r>
      <w:r>
        <w:rPr>
          <w:rFonts w:ascii="Century Gothic" w:cs="Calibri" w:hAnsi="Century Gothic"/>
          <w:b w:val="false"/>
          <w:color w:val="auto"/>
          <w:spacing w:val="-1"/>
          <w:sz w:val="24"/>
          <w:szCs w:val="24"/>
        </w:rPr>
        <w:t>a</w:t>
      </w:r>
      <w:r>
        <w:rPr>
          <w:rFonts w:ascii="Century Gothic" w:cs="Calibri" w:hAnsi="Century Gothic"/>
          <w:b w:val="false"/>
          <w:color w:val="auto"/>
          <w:sz w:val="24"/>
          <w:szCs w:val="24"/>
        </w:rPr>
        <w:t>r</w:t>
      </w:r>
      <w:r>
        <w:rPr>
          <w:rFonts w:ascii="Century Gothic" w:cs="Calibri" w:hAnsi="Century Gothic"/>
          <w:b w:val="false"/>
          <w:color w:val="auto"/>
          <w:spacing w:val="-1"/>
          <w:sz w:val="24"/>
          <w:szCs w:val="24"/>
        </w:rPr>
        <w:t>cé</w:t>
      </w:r>
      <w:r>
        <w:rPr>
          <w:rFonts w:ascii="Century Gothic" w:cs="Calibri" w:hAnsi="Century Gothic"/>
          <w:b w:val="false"/>
          <w:color w:val="auto"/>
          <w:sz w:val="24"/>
          <w:szCs w:val="24"/>
        </w:rPr>
        <w:t xml:space="preserve">, </w:t>
      </w:r>
      <w:r>
        <w:rPr>
          <w:rFonts w:ascii="Century Gothic" w:cs="Calibri" w:hAnsi="Century Gothic"/>
          <w:b w:val="false"/>
          <w:color w:val="auto"/>
          <w:spacing w:val="-1"/>
          <w:sz w:val="24"/>
          <w:szCs w:val="24"/>
        </w:rPr>
        <w:t>N</w:t>
      </w:r>
      <w:r>
        <w:rPr>
          <w:rFonts w:ascii="Century Gothic" w:cs="Calibri" w:hAnsi="Century Gothic"/>
          <w:b w:val="false"/>
          <w:color w:val="auto"/>
          <w:sz w:val="24"/>
          <w:szCs w:val="24"/>
        </w:rPr>
        <w:t>io</w:t>
      </w:r>
      <w:r>
        <w:rPr>
          <w:rFonts w:ascii="Century Gothic" w:cs="Calibri" w:hAnsi="Century Gothic"/>
          <w:b w:val="false"/>
          <w:color w:val="auto"/>
          <w:spacing w:val="-1"/>
          <w:sz w:val="24"/>
          <w:szCs w:val="24"/>
        </w:rPr>
        <w:t>ua</w:t>
      </w:r>
      <w:r>
        <w:rPr>
          <w:rFonts w:ascii="Century Gothic" w:cs="Calibri" w:hAnsi="Century Gothic"/>
          <w:b w:val="false"/>
          <w:color w:val="auto"/>
          <w:sz w:val="24"/>
          <w:szCs w:val="24"/>
        </w:rPr>
        <w:t>bi</w:t>
      </w:r>
      <w:r>
        <w:rPr>
          <w:rFonts w:ascii="Century Gothic" w:cs="Calibri" w:hAnsi="Century Gothic"/>
          <w:b w:val="false"/>
          <w:color w:val="auto"/>
          <w:spacing w:val="-1"/>
          <w:sz w:val="24"/>
          <w:szCs w:val="24"/>
        </w:rPr>
        <w:t>é</w:t>
      </w:r>
      <w:r>
        <w:rPr>
          <w:rFonts w:ascii="Century Gothic" w:cs="Calibri" w:hAnsi="Century Gothic"/>
          <w:b w:val="false"/>
          <w:color w:val="auto"/>
          <w:sz w:val="24"/>
          <w:szCs w:val="24"/>
        </w:rPr>
        <w:t>, So</w:t>
      </w:r>
      <w:r>
        <w:rPr>
          <w:rFonts w:ascii="Century Gothic" w:cs="Calibri" w:hAnsi="Century Gothic"/>
          <w:b w:val="false"/>
          <w:color w:val="auto"/>
          <w:spacing w:val="-1"/>
          <w:sz w:val="24"/>
          <w:szCs w:val="24"/>
        </w:rPr>
        <w:t>n</w:t>
      </w:r>
      <w:r>
        <w:rPr>
          <w:rFonts w:ascii="Century Gothic" w:cs="Calibri" w:hAnsi="Century Gothic"/>
          <w:b w:val="false"/>
          <w:color w:val="auto"/>
          <w:sz w:val="24"/>
          <w:szCs w:val="24"/>
        </w:rPr>
        <w:t xml:space="preserve">go, </w:t>
      </w:r>
      <w:r>
        <w:rPr>
          <w:rFonts w:ascii="Century Gothic" w:cs="Calibri" w:hAnsi="Century Gothic"/>
          <w:b w:val="false"/>
          <w:color w:val="auto"/>
          <w:spacing w:val="-1"/>
          <w:sz w:val="24"/>
          <w:szCs w:val="24"/>
        </w:rPr>
        <w:t>Ze</w:t>
      </w:r>
      <w:r>
        <w:rPr>
          <w:rFonts w:ascii="Century Gothic" w:cs="Calibri" w:hAnsi="Century Gothic"/>
          <w:b w:val="false"/>
          <w:color w:val="auto"/>
          <w:sz w:val="24"/>
          <w:szCs w:val="24"/>
        </w:rPr>
        <w:t xml:space="preserve">logo </w:t>
      </w:r>
      <w:r>
        <w:rPr>
          <w:rFonts w:ascii="Century Gothic" w:cs="Calibri" w:hAnsi="Century Gothic"/>
          <w:b w:val="false"/>
          <w:color w:val="auto"/>
          <w:spacing w:val="-1"/>
          <w:sz w:val="24"/>
          <w:szCs w:val="24"/>
        </w:rPr>
        <w:t>e</w:t>
      </w:r>
      <w:r>
        <w:rPr>
          <w:rFonts w:ascii="Century Gothic" w:cs="Calibri" w:hAnsi="Century Gothic"/>
          <w:b w:val="false"/>
          <w:color w:val="auto"/>
          <w:sz w:val="24"/>
          <w:szCs w:val="24"/>
        </w:rPr>
        <w:t>t A</w:t>
      </w:r>
      <w:r>
        <w:rPr>
          <w:rFonts w:ascii="Century Gothic" w:cs="Calibri" w:hAnsi="Century Gothic"/>
          <w:b w:val="false"/>
          <w:color w:val="auto"/>
          <w:spacing w:val="-1"/>
          <w:sz w:val="24"/>
          <w:szCs w:val="24"/>
        </w:rPr>
        <w:t>r</w:t>
      </w:r>
      <w:r>
        <w:rPr>
          <w:rFonts w:ascii="Century Gothic" w:cs="Calibri" w:hAnsi="Century Gothic"/>
          <w:b w:val="false"/>
          <w:color w:val="auto"/>
          <w:spacing w:val="-3"/>
          <w:sz w:val="24"/>
          <w:szCs w:val="24"/>
        </w:rPr>
        <w:t>r</w:t>
      </w:r>
      <w:r>
        <w:rPr>
          <w:rFonts w:ascii="Century Gothic" w:cs="Calibri" w:hAnsi="Century Gothic"/>
          <w:b w:val="false"/>
          <w:color w:val="auto"/>
          <w:sz w:val="24"/>
          <w:szCs w:val="24"/>
        </w:rPr>
        <w:t>o</w:t>
      </w:r>
      <w:r>
        <w:rPr>
          <w:rFonts w:ascii="Century Gothic" w:cs="Calibri" w:hAnsi="Century Gothic"/>
          <w:b w:val="false"/>
          <w:color w:val="auto"/>
          <w:spacing w:val="-1"/>
          <w:sz w:val="24"/>
          <w:szCs w:val="24"/>
        </w:rPr>
        <w:t>um</w:t>
      </w:r>
      <w:r>
        <w:rPr>
          <w:rFonts w:ascii="Century Gothic" w:cs="Calibri" w:hAnsi="Century Gothic"/>
          <w:b w:val="false"/>
          <w:color w:val="auto"/>
          <w:sz w:val="24"/>
          <w:szCs w:val="24"/>
        </w:rPr>
        <w:t>b</w:t>
      </w:r>
      <w:r>
        <w:rPr>
          <w:rFonts w:ascii="Century Gothic" w:cs="Calibri" w:hAnsi="Century Gothic"/>
          <w:b w:val="false"/>
          <w:color w:val="auto"/>
          <w:spacing w:val="-2"/>
          <w:sz w:val="24"/>
          <w:szCs w:val="24"/>
        </w:rPr>
        <w:t>i</w:t>
      </w:r>
      <w:r>
        <w:rPr>
          <w:rFonts w:ascii="Century Gothic" w:cs="Calibri" w:hAnsi="Century Gothic"/>
          <w:b w:val="false"/>
          <w:color w:val="auto"/>
          <w:sz w:val="24"/>
          <w:szCs w:val="24"/>
        </w:rPr>
        <w:t xml:space="preserve">ssi qui </w:t>
      </w:r>
      <w:r>
        <w:rPr>
          <w:rFonts w:ascii="Century Gothic" w:cs="Calibri" w:hAnsi="Century Gothic"/>
          <w:b w:val="false"/>
          <w:color w:val="auto"/>
          <w:spacing w:val="-1"/>
          <w:sz w:val="24"/>
          <w:szCs w:val="24"/>
        </w:rPr>
        <w:t>e</w:t>
      </w:r>
      <w:r>
        <w:rPr>
          <w:rFonts w:ascii="Century Gothic" w:cs="Calibri" w:hAnsi="Century Gothic"/>
          <w:b w:val="false"/>
          <w:color w:val="auto"/>
          <w:sz w:val="24"/>
          <w:szCs w:val="24"/>
        </w:rPr>
        <w:t xml:space="preserve">st le </w:t>
      </w:r>
      <w:r>
        <w:rPr>
          <w:rFonts w:ascii="Century Gothic" w:cs="Calibri" w:hAnsi="Century Gothic"/>
          <w:b w:val="false"/>
          <w:color w:val="auto"/>
          <w:spacing w:val="-1"/>
          <w:sz w:val="24"/>
          <w:szCs w:val="24"/>
        </w:rPr>
        <w:t>che</w:t>
      </w:r>
      <w:r>
        <w:rPr>
          <w:rFonts w:ascii="Century Gothic" w:cs="Calibri" w:hAnsi="Century Gothic"/>
          <w:b w:val="false"/>
          <w:color w:val="auto"/>
          <w:sz w:val="24"/>
          <w:szCs w:val="24"/>
        </w:rPr>
        <w:t>f-li</w:t>
      </w:r>
      <w:r>
        <w:rPr>
          <w:rFonts w:ascii="Century Gothic" w:cs="Calibri" w:hAnsi="Century Gothic"/>
          <w:b w:val="false"/>
          <w:color w:val="auto"/>
          <w:spacing w:val="-1"/>
          <w:sz w:val="24"/>
          <w:szCs w:val="24"/>
        </w:rPr>
        <w:t>e</w:t>
      </w:r>
      <w:r>
        <w:rPr>
          <w:rFonts w:ascii="Century Gothic" w:cs="Calibri" w:hAnsi="Century Gothic"/>
          <w:b w:val="false"/>
          <w:color w:val="auto"/>
          <w:sz w:val="24"/>
          <w:szCs w:val="24"/>
        </w:rPr>
        <w:t xml:space="preserve">u </w:t>
      </w:r>
      <w:r>
        <w:rPr>
          <w:rFonts w:ascii="Century Gothic" w:cs="Calibri" w:hAnsi="Century Gothic"/>
          <w:b w:val="false"/>
          <w:color w:val="auto"/>
          <w:spacing w:val="1"/>
          <w:sz w:val="24"/>
          <w:szCs w:val="24"/>
        </w:rPr>
        <w:t>d</w:t>
      </w:r>
      <w:r>
        <w:rPr>
          <w:rFonts w:ascii="Century Gothic" w:cs="Calibri" w:hAnsi="Century Gothic"/>
          <w:b w:val="false"/>
          <w:color w:val="auto"/>
          <w:sz w:val="24"/>
          <w:szCs w:val="24"/>
        </w:rPr>
        <w:t xml:space="preserve">e la </w:t>
      </w:r>
      <w:r>
        <w:rPr>
          <w:rFonts w:ascii="Century Gothic" w:cs="Calibri" w:hAnsi="Century Gothic"/>
          <w:b w:val="false"/>
          <w:color w:val="auto"/>
          <w:spacing w:val="-1"/>
          <w:sz w:val="24"/>
          <w:szCs w:val="24"/>
        </w:rPr>
        <w:t>c</w:t>
      </w:r>
      <w:r>
        <w:rPr>
          <w:rFonts w:ascii="Century Gothic" w:cs="Calibri" w:hAnsi="Century Gothic"/>
          <w:b w:val="false"/>
          <w:color w:val="auto"/>
          <w:sz w:val="24"/>
          <w:szCs w:val="24"/>
        </w:rPr>
        <w:t>om</w:t>
      </w:r>
      <w:r>
        <w:rPr>
          <w:rFonts w:ascii="Century Gothic" w:cs="Calibri" w:hAnsi="Century Gothic"/>
          <w:b w:val="false"/>
          <w:color w:val="auto"/>
          <w:spacing w:val="-1"/>
          <w:sz w:val="24"/>
          <w:szCs w:val="24"/>
        </w:rPr>
        <w:t>mun</w:t>
      </w:r>
      <w:r>
        <w:rPr>
          <w:rFonts w:ascii="Century Gothic" w:cs="Calibri" w:hAnsi="Century Gothic"/>
          <w:b w:val="false"/>
          <w:color w:val="auto"/>
          <w:sz w:val="24"/>
          <w:szCs w:val="24"/>
        </w:rPr>
        <w:t>e.</w:t>
      </w:r>
    </w:p>
    <w:p>
      <w:pPr>
        <w:pStyle w:val="style0"/>
        <w:jc w:val="both"/>
        <w:rPr>
          <w:rFonts w:ascii="Century Gothic" w:cs="Calibri" w:hAnsi="Century Gothic"/>
        </w:rPr>
      </w:pPr>
    </w:p>
    <w:p>
      <w:pPr>
        <w:pStyle w:val="style0"/>
        <w:widowControl w:val="false"/>
        <w:tabs>
          <w:tab w:val="left" w:leader="none" w:pos="820"/>
        </w:tabs>
        <w:autoSpaceDE w:val="false"/>
        <w:autoSpaceDN w:val="false"/>
        <w:adjustRightInd w:val="false"/>
        <w:ind w:right="111"/>
        <w:jc w:val="both"/>
        <w:rPr>
          <w:rFonts w:ascii="Century Gothic" w:cs="Calibri" w:hAnsi="Century Gothic"/>
        </w:rPr>
      </w:pPr>
      <w:r>
        <w:rPr>
          <w:rFonts w:ascii="Century Gothic" w:cs="Calibri" w:hAnsi="Century Gothic"/>
        </w:rPr>
        <w:t>En termes de ressource hydrographique, la commune n’est pas assez fournie car elle se trouve faiblement drainée. On note la présence de quelques cours d’eau (</w:t>
      </w:r>
      <w:r>
        <w:rPr>
          <w:rFonts w:ascii="Century Gothic" w:cs="Calibri" w:hAnsi="Century Gothic"/>
          <w:spacing w:val="-2"/>
        </w:rPr>
        <w:t>A</w:t>
      </w:r>
      <w:r>
        <w:rPr>
          <w:rFonts w:ascii="Century Gothic" w:cs="Calibri" w:hAnsi="Century Gothic"/>
        </w:rPr>
        <w:t>sso</w:t>
      </w:r>
      <w:r>
        <w:rPr>
          <w:rFonts w:ascii="Century Gothic" w:cs="Calibri" w:hAnsi="Century Gothic"/>
          <w:spacing w:val="-1"/>
        </w:rPr>
        <w:t>un</w:t>
      </w:r>
      <w:r>
        <w:rPr>
          <w:rFonts w:ascii="Century Gothic" w:cs="Calibri" w:hAnsi="Century Gothic"/>
        </w:rPr>
        <w:t>gou, B</w:t>
      </w:r>
      <w:r>
        <w:rPr>
          <w:rFonts w:ascii="Century Gothic" w:cs="Calibri" w:hAnsi="Century Gothic"/>
          <w:spacing w:val="-1"/>
        </w:rPr>
        <w:t>an</w:t>
      </w:r>
      <w:r>
        <w:rPr>
          <w:rFonts w:ascii="Century Gothic" w:cs="Calibri" w:hAnsi="Century Gothic"/>
        </w:rPr>
        <w:t>kaka (</w:t>
      </w:r>
      <w:r>
        <w:rPr>
          <w:rFonts w:ascii="Century Gothic" w:cs="Calibri" w:hAnsi="Century Gothic"/>
          <w:spacing w:val="-1"/>
        </w:rPr>
        <w:t>A</w:t>
      </w:r>
      <w:r>
        <w:rPr>
          <w:rFonts w:ascii="Century Gothic" w:cs="Calibri" w:hAnsi="Century Gothic"/>
        </w:rPr>
        <w:t>rro</w:t>
      </w:r>
      <w:r>
        <w:rPr>
          <w:rFonts w:ascii="Century Gothic" w:cs="Calibri" w:hAnsi="Century Gothic"/>
          <w:spacing w:val="-1"/>
        </w:rPr>
        <w:t>um</w:t>
      </w:r>
      <w:r>
        <w:rPr>
          <w:rFonts w:ascii="Century Gothic" w:cs="Calibri" w:hAnsi="Century Gothic"/>
        </w:rPr>
        <w:t xml:space="preserve">bissi), </w:t>
      </w:r>
      <w:r>
        <w:rPr>
          <w:rFonts w:ascii="Century Gothic" w:cs="Calibri" w:hAnsi="Century Gothic"/>
          <w:spacing w:val="-2"/>
        </w:rPr>
        <w:t>Y</w:t>
      </w:r>
      <w:r>
        <w:rPr>
          <w:rFonts w:ascii="Century Gothic" w:cs="Calibri" w:hAnsi="Century Gothic"/>
          <w:spacing w:val="-1"/>
        </w:rPr>
        <w:t>a</w:t>
      </w:r>
      <w:r>
        <w:rPr>
          <w:rFonts w:ascii="Century Gothic" w:cs="Calibri" w:hAnsi="Century Gothic"/>
        </w:rPr>
        <w:t>lobgu</w:t>
      </w:r>
      <w:r>
        <w:rPr>
          <w:rFonts w:ascii="Century Gothic" w:cs="Calibri" w:hAnsi="Century Gothic"/>
          <w:spacing w:val="-1"/>
        </w:rPr>
        <w:t>é</w:t>
      </w:r>
      <w:r>
        <w:rPr>
          <w:rFonts w:ascii="Century Gothic" w:cs="Calibri" w:hAnsi="Century Gothic"/>
        </w:rPr>
        <w:t xml:space="preserve">, </w:t>
      </w:r>
      <w:r>
        <w:rPr>
          <w:rFonts w:ascii="Century Gothic" w:cs="Calibri" w:hAnsi="Century Gothic"/>
          <w:spacing w:val="-1"/>
        </w:rPr>
        <w:t>Z</w:t>
      </w:r>
      <w:r>
        <w:rPr>
          <w:rFonts w:ascii="Century Gothic" w:cs="Calibri" w:hAnsi="Century Gothic"/>
        </w:rPr>
        <w:t>o</w:t>
      </w:r>
      <w:r>
        <w:rPr>
          <w:rFonts w:ascii="Century Gothic" w:cs="Calibri" w:hAnsi="Century Gothic"/>
          <w:spacing w:val="-1"/>
        </w:rPr>
        <w:t>u</w:t>
      </w:r>
      <w:r>
        <w:rPr>
          <w:rFonts w:ascii="Century Gothic" w:cs="Calibri" w:hAnsi="Century Gothic"/>
        </w:rPr>
        <w:t>l</w:t>
      </w:r>
      <w:r>
        <w:rPr>
          <w:rFonts w:ascii="Century Gothic" w:cs="Calibri" w:hAnsi="Century Gothic"/>
          <w:spacing w:val="-1"/>
        </w:rPr>
        <w:t>m</w:t>
      </w:r>
      <w:r>
        <w:rPr>
          <w:rFonts w:ascii="Century Gothic" w:cs="Calibri" w:hAnsi="Century Gothic"/>
        </w:rPr>
        <w:t>a (B</w:t>
      </w:r>
      <w:r>
        <w:rPr>
          <w:rFonts w:ascii="Century Gothic" w:cs="Calibri" w:hAnsi="Century Gothic"/>
          <w:spacing w:val="-1"/>
        </w:rPr>
        <w:t>a</w:t>
      </w:r>
      <w:r>
        <w:rPr>
          <w:rFonts w:ascii="Century Gothic" w:cs="Calibri" w:hAnsi="Century Gothic"/>
        </w:rPr>
        <w:t>rr</w:t>
      </w:r>
      <w:r>
        <w:rPr>
          <w:rFonts w:ascii="Century Gothic" w:cs="Calibri" w:hAnsi="Century Gothic"/>
          <w:spacing w:val="-2"/>
        </w:rPr>
        <w:t>é</w:t>
      </w:r>
      <w:r>
        <w:rPr>
          <w:rFonts w:ascii="Century Gothic" w:cs="Calibri" w:hAnsi="Century Gothic"/>
        </w:rPr>
        <w:t>), Avokoupa</w:t>
      </w:r>
      <w:r>
        <w:rPr>
          <w:rFonts w:ascii="Century Gothic" w:cs="Calibri" w:hAnsi="Century Gothic"/>
          <w:spacing w:val="-3"/>
        </w:rPr>
        <w:t>l</w:t>
      </w:r>
      <w:r>
        <w:rPr>
          <w:rFonts w:ascii="Century Gothic" w:cs="Calibri" w:hAnsi="Century Gothic"/>
        </w:rPr>
        <w:t>go, Ko</w:t>
      </w:r>
      <w:r>
        <w:rPr>
          <w:rFonts w:ascii="Century Gothic" w:cs="Calibri" w:hAnsi="Century Gothic"/>
          <w:spacing w:val="-1"/>
        </w:rPr>
        <w:t>u</w:t>
      </w:r>
      <w:r>
        <w:rPr>
          <w:rFonts w:ascii="Century Gothic" w:cs="Calibri" w:hAnsi="Century Gothic"/>
        </w:rPr>
        <w:t>ré (B</w:t>
      </w:r>
      <w:r>
        <w:rPr>
          <w:rFonts w:ascii="Century Gothic" w:cs="Calibri" w:hAnsi="Century Gothic"/>
          <w:spacing w:val="-3"/>
        </w:rPr>
        <w:t>o</w:t>
      </w:r>
      <w:r>
        <w:rPr>
          <w:rFonts w:ascii="Century Gothic" w:cs="Calibri" w:hAnsi="Century Gothic"/>
          <w:spacing w:val="-1"/>
        </w:rPr>
        <w:t>u</w:t>
      </w:r>
      <w:r>
        <w:rPr>
          <w:rFonts w:ascii="Century Gothic" w:cs="Calibri" w:hAnsi="Century Gothic"/>
        </w:rPr>
        <w:t>ro</w:t>
      </w:r>
      <w:r>
        <w:rPr>
          <w:rFonts w:ascii="Century Gothic" w:cs="Calibri" w:hAnsi="Century Gothic"/>
          <w:spacing w:val="-1"/>
        </w:rPr>
        <w:t>uma</w:t>
      </w:r>
      <w:r>
        <w:rPr>
          <w:rFonts w:ascii="Century Gothic" w:cs="Calibri" w:hAnsi="Century Gothic"/>
        </w:rPr>
        <w:t>), Y</w:t>
      </w:r>
      <w:r>
        <w:rPr>
          <w:rFonts w:ascii="Century Gothic" w:cs="Calibri" w:hAnsi="Century Gothic"/>
          <w:spacing w:val="-1"/>
        </w:rPr>
        <w:t>an</w:t>
      </w:r>
      <w:r>
        <w:rPr>
          <w:rFonts w:ascii="Century Gothic" w:cs="Calibri" w:hAnsi="Century Gothic"/>
        </w:rPr>
        <w:t>wo</w:t>
      </w:r>
      <w:r>
        <w:rPr>
          <w:rFonts w:ascii="Century Gothic" w:cs="Calibri" w:hAnsi="Century Gothic"/>
          <w:spacing w:val="-1"/>
        </w:rPr>
        <w:t>u</w:t>
      </w:r>
      <w:r>
        <w:rPr>
          <w:rFonts w:ascii="Century Gothic" w:cs="Calibri" w:hAnsi="Century Gothic"/>
        </w:rPr>
        <w:t>ya, Abor</w:t>
      </w:r>
      <w:r>
        <w:rPr>
          <w:rFonts w:ascii="Century Gothic" w:cs="Calibri" w:hAnsi="Century Gothic"/>
          <w:spacing w:val="-1"/>
        </w:rPr>
        <w:t>é</w:t>
      </w:r>
      <w:r>
        <w:rPr>
          <w:rFonts w:ascii="Century Gothic" w:cs="Calibri" w:hAnsi="Century Gothic"/>
        </w:rPr>
        <w:t xml:space="preserve">, </w:t>
      </w:r>
      <w:r>
        <w:rPr>
          <w:rFonts w:ascii="Century Gothic" w:cs="Calibri" w:hAnsi="Century Gothic"/>
          <w:spacing w:val="-2"/>
        </w:rPr>
        <w:t>T</w:t>
      </w:r>
      <w:r>
        <w:rPr>
          <w:rFonts w:ascii="Century Gothic" w:cs="Calibri" w:hAnsi="Century Gothic"/>
        </w:rPr>
        <w:t>o</w:t>
      </w:r>
      <w:r>
        <w:rPr>
          <w:rFonts w:ascii="Century Gothic" w:cs="Calibri" w:hAnsi="Century Gothic"/>
          <w:spacing w:val="-1"/>
        </w:rPr>
        <w:t>u</w:t>
      </w:r>
      <w:r>
        <w:rPr>
          <w:rFonts w:ascii="Century Gothic" w:cs="Calibri" w:hAnsi="Century Gothic"/>
        </w:rPr>
        <w:t>bab</w:t>
      </w:r>
      <w:r>
        <w:rPr>
          <w:rFonts w:ascii="Century Gothic" w:cs="Calibri" w:hAnsi="Century Gothic"/>
          <w:spacing w:val="-2"/>
        </w:rPr>
        <w:t>o</w:t>
      </w:r>
      <w:r>
        <w:rPr>
          <w:rFonts w:ascii="Century Gothic" w:cs="Calibri" w:hAnsi="Century Gothic"/>
        </w:rPr>
        <w:t>kan (</w:t>
      </w:r>
      <w:r>
        <w:rPr>
          <w:rFonts w:ascii="Century Gothic" w:cs="Calibri" w:hAnsi="Century Gothic"/>
          <w:spacing w:val="-1"/>
        </w:rPr>
        <w:t>G</w:t>
      </w:r>
      <w:r>
        <w:rPr>
          <w:rFonts w:ascii="Century Gothic" w:cs="Calibri" w:hAnsi="Century Gothic"/>
        </w:rPr>
        <w:t>o</w:t>
      </w:r>
      <w:r>
        <w:rPr>
          <w:rFonts w:ascii="Century Gothic" w:cs="Calibri" w:hAnsi="Century Gothic"/>
          <w:spacing w:val="-3"/>
        </w:rPr>
        <w:t>n</w:t>
      </w:r>
      <w:r>
        <w:rPr>
          <w:rFonts w:ascii="Century Gothic" w:cs="Calibri" w:hAnsi="Century Gothic"/>
        </w:rPr>
        <w:t>r</w:t>
      </w:r>
      <w:r>
        <w:rPr>
          <w:rFonts w:ascii="Century Gothic" w:cs="Calibri" w:hAnsi="Century Gothic"/>
          <w:spacing w:val="-1"/>
        </w:rPr>
        <w:t>é</w:t>
      </w:r>
      <w:r>
        <w:rPr>
          <w:rFonts w:ascii="Century Gothic" w:cs="Calibri" w:hAnsi="Century Gothic"/>
        </w:rPr>
        <w:t>), Bota</w:t>
      </w:r>
      <w:r>
        <w:rPr>
          <w:rFonts w:ascii="Century Gothic" w:cs="Calibri" w:hAnsi="Century Gothic"/>
          <w:spacing w:val="-1"/>
        </w:rPr>
        <w:t>c</w:t>
      </w:r>
      <w:r>
        <w:rPr>
          <w:rFonts w:ascii="Century Gothic" w:cs="Calibri" w:hAnsi="Century Gothic"/>
          <w:spacing w:val="1"/>
        </w:rPr>
        <w:t>t</w:t>
      </w:r>
      <w:r>
        <w:rPr>
          <w:rFonts w:ascii="Century Gothic" w:cs="Calibri" w:hAnsi="Century Gothic"/>
        </w:rPr>
        <w:t>é (</w:t>
      </w:r>
      <w:r>
        <w:rPr>
          <w:rFonts w:ascii="Century Gothic" w:cs="Calibri" w:hAnsi="Century Gothic"/>
          <w:spacing w:val="-1"/>
        </w:rPr>
        <w:t>Gu</w:t>
      </w:r>
      <w:r>
        <w:rPr>
          <w:rFonts w:ascii="Century Gothic" w:cs="Calibri" w:hAnsi="Century Gothic"/>
        </w:rPr>
        <w:t>i</w:t>
      </w:r>
      <w:r>
        <w:rPr>
          <w:rFonts w:ascii="Century Gothic" w:cs="Calibri" w:hAnsi="Century Gothic"/>
          <w:spacing w:val="-1"/>
        </w:rPr>
        <w:t>an</w:t>
      </w:r>
      <w:r>
        <w:rPr>
          <w:rFonts w:ascii="Century Gothic" w:cs="Calibri" w:hAnsi="Century Gothic"/>
        </w:rPr>
        <w:t>), Alo</w:t>
      </w:r>
      <w:r>
        <w:rPr>
          <w:rFonts w:ascii="Century Gothic" w:cs="Calibri" w:hAnsi="Century Gothic"/>
          <w:spacing w:val="-1"/>
        </w:rPr>
        <w:t>un</w:t>
      </w:r>
      <w:r>
        <w:rPr>
          <w:rFonts w:ascii="Century Gothic" w:cs="Calibri" w:hAnsi="Century Gothic"/>
        </w:rPr>
        <w:t>gou (</w:t>
      </w:r>
      <w:r>
        <w:rPr>
          <w:rFonts w:ascii="Century Gothic" w:cs="Calibri" w:hAnsi="Century Gothic"/>
          <w:spacing w:val="-1"/>
        </w:rPr>
        <w:t>N</w:t>
      </w:r>
      <w:r>
        <w:rPr>
          <w:rFonts w:ascii="Century Gothic" w:cs="Calibri" w:hAnsi="Century Gothic"/>
        </w:rPr>
        <w:t>o</w:t>
      </w:r>
      <w:r>
        <w:rPr>
          <w:rFonts w:ascii="Century Gothic" w:cs="Calibri" w:hAnsi="Century Gothic"/>
          <w:spacing w:val="-1"/>
        </w:rPr>
        <w:t>ua</w:t>
      </w:r>
      <w:r>
        <w:rPr>
          <w:rFonts w:ascii="Century Gothic" w:cs="Calibri" w:hAnsi="Century Gothic"/>
        </w:rPr>
        <w:t>bi</w:t>
      </w:r>
      <w:r>
        <w:rPr>
          <w:rFonts w:ascii="Century Gothic" w:cs="Calibri" w:hAnsi="Century Gothic"/>
          <w:spacing w:val="-1"/>
        </w:rPr>
        <w:t>é</w:t>
      </w:r>
      <w:r>
        <w:rPr>
          <w:rFonts w:ascii="Century Gothic" w:cs="Calibri" w:hAnsi="Century Gothic"/>
        </w:rPr>
        <w:t xml:space="preserve">), </w:t>
      </w:r>
      <w:r>
        <w:rPr>
          <w:rFonts w:ascii="Century Gothic" w:cs="Calibri" w:hAnsi="Century Gothic"/>
          <w:spacing w:val="-2"/>
        </w:rPr>
        <w:t>Y</w:t>
      </w:r>
      <w:r>
        <w:rPr>
          <w:rFonts w:ascii="Century Gothic" w:cs="Calibri" w:hAnsi="Century Gothic"/>
        </w:rPr>
        <w:t>o</w:t>
      </w:r>
      <w:r>
        <w:rPr>
          <w:rFonts w:ascii="Century Gothic" w:cs="Calibri" w:hAnsi="Century Gothic"/>
          <w:spacing w:val="-1"/>
        </w:rPr>
        <w:t>u</w:t>
      </w:r>
      <w:r>
        <w:rPr>
          <w:rFonts w:ascii="Century Gothic" w:cs="Calibri" w:hAnsi="Century Gothic"/>
        </w:rPr>
        <w:t>gné (</w:t>
      </w:r>
      <w:r>
        <w:rPr>
          <w:rFonts w:ascii="Century Gothic" w:cs="Calibri" w:hAnsi="Century Gothic"/>
          <w:spacing w:val="-1"/>
        </w:rPr>
        <w:t>S</w:t>
      </w:r>
      <w:r>
        <w:rPr>
          <w:rFonts w:ascii="Century Gothic" w:cs="Calibri" w:hAnsi="Century Gothic"/>
        </w:rPr>
        <w:t>o</w:t>
      </w:r>
      <w:r>
        <w:rPr>
          <w:rFonts w:ascii="Century Gothic" w:cs="Calibri" w:hAnsi="Century Gothic"/>
          <w:spacing w:val="-1"/>
        </w:rPr>
        <w:t>n</w:t>
      </w:r>
      <w:r>
        <w:rPr>
          <w:rFonts w:ascii="Century Gothic" w:cs="Calibri" w:hAnsi="Century Gothic"/>
        </w:rPr>
        <w:t>go), B</w:t>
      </w:r>
      <w:r>
        <w:rPr>
          <w:rFonts w:ascii="Century Gothic" w:cs="Calibri" w:hAnsi="Century Gothic"/>
          <w:spacing w:val="-1"/>
        </w:rPr>
        <w:t>an</w:t>
      </w:r>
      <w:r>
        <w:rPr>
          <w:rFonts w:ascii="Century Gothic" w:cs="Calibri" w:hAnsi="Century Gothic"/>
        </w:rPr>
        <w:t>kata</w:t>
      </w:r>
      <w:r>
        <w:rPr>
          <w:rFonts w:ascii="Century Gothic" w:cs="Calibri" w:hAnsi="Century Gothic"/>
          <w:spacing w:val="-1"/>
        </w:rPr>
        <w:t>n</w:t>
      </w:r>
      <w:r>
        <w:rPr>
          <w:rFonts w:ascii="Century Gothic" w:cs="Calibri" w:hAnsi="Century Gothic"/>
        </w:rPr>
        <w:t>ga, S</w:t>
      </w:r>
      <w:r>
        <w:rPr>
          <w:rFonts w:ascii="Century Gothic" w:cs="Calibri" w:hAnsi="Century Gothic"/>
          <w:spacing w:val="-1"/>
        </w:rPr>
        <w:t>a</w:t>
      </w:r>
      <w:r>
        <w:rPr>
          <w:rFonts w:ascii="Century Gothic" w:cs="Calibri" w:hAnsi="Century Gothic"/>
        </w:rPr>
        <w:t>gm</w:t>
      </w:r>
      <w:r>
        <w:rPr>
          <w:rFonts w:ascii="Century Gothic" w:cs="Calibri" w:hAnsi="Century Gothic"/>
          <w:spacing w:val="-1"/>
        </w:rPr>
        <w:t>a</w:t>
      </w:r>
      <w:r>
        <w:rPr>
          <w:rFonts w:ascii="Century Gothic" w:cs="Calibri" w:hAnsi="Century Gothic"/>
        </w:rPr>
        <w:t>n (</w:t>
      </w:r>
      <w:r>
        <w:rPr>
          <w:rFonts w:ascii="Century Gothic" w:cs="Calibri" w:hAnsi="Century Gothic"/>
          <w:spacing w:val="-1"/>
        </w:rPr>
        <w:t>Z</w:t>
      </w:r>
      <w:r>
        <w:rPr>
          <w:rFonts w:ascii="Century Gothic" w:cs="Calibri" w:hAnsi="Century Gothic"/>
          <w:spacing w:val="-3"/>
        </w:rPr>
        <w:t>e</w:t>
      </w:r>
      <w:r>
        <w:rPr>
          <w:rFonts w:ascii="Century Gothic" w:cs="Calibri" w:hAnsi="Century Gothic"/>
        </w:rPr>
        <w:t>logo)) dont le plus important est le Mogré situé dans la partie Nord de la commune.</w:t>
      </w:r>
    </w:p>
    <w:p>
      <w:pPr>
        <w:pStyle w:val="style0"/>
        <w:widowControl w:val="false"/>
        <w:tabs>
          <w:tab w:val="left" w:leader="none" w:pos="820"/>
        </w:tabs>
        <w:autoSpaceDE w:val="false"/>
        <w:autoSpaceDN w:val="false"/>
        <w:adjustRightInd w:val="false"/>
        <w:ind w:right="111"/>
        <w:jc w:val="both"/>
        <w:rPr>
          <w:rFonts w:ascii="Century Gothic" w:cs="Calibri" w:hAnsi="Century Gothic"/>
        </w:rPr>
      </w:pPr>
    </w:p>
    <w:p>
      <w:pPr>
        <w:pStyle w:val="style0"/>
        <w:widowControl w:val="false"/>
        <w:autoSpaceDE w:val="false"/>
        <w:autoSpaceDN w:val="false"/>
        <w:adjustRightInd w:val="false"/>
        <w:ind w:right="150"/>
        <w:jc w:val="both"/>
        <w:rPr>
          <w:rFonts w:ascii="Century Gothic" w:cs="Calibri" w:hAnsi="Century Gothic"/>
        </w:rPr>
      </w:pPr>
      <w:r>
        <w:rPr>
          <w:rFonts w:ascii="Century Gothic" w:cs="Calibri" w:hAnsi="Century Gothic"/>
        </w:rPr>
        <w:t>De façon générale, tous les cours d’eau sont saisonniers et tributaires des conditions climatiques car ils tarissent dès le mois de décembre. Il existe un bouli dans le village de Guian, qui est malheureusement ensablé. L’ensemble des cours d’eau est exploité pour l’abreuvement des animaux, des cultures maraîchères (partiellement) et les activités sylvicoles.</w:t>
      </w:r>
    </w:p>
    <w:p>
      <w:pPr>
        <w:pStyle w:val="style0"/>
        <w:jc w:val="both"/>
        <w:rPr>
          <w:rFonts w:ascii="Century Gothic" w:cs="Calibri" w:hAnsi="Century Gothic"/>
          <w:noProof/>
        </w:rPr>
      </w:pPr>
    </w:p>
    <w:p>
      <w:pPr>
        <w:pStyle w:val="style0"/>
        <w:jc w:val="both"/>
        <w:rPr>
          <w:rFonts w:ascii="Century Gothic" w:cs="Calibri" w:hAnsi="Century Gothic"/>
          <w:noProof/>
        </w:rPr>
      </w:pPr>
      <w:r>
        <w:rPr>
          <w:rFonts w:ascii="Century Gothic" w:cs="Calibri" w:hAnsi="Century Gothic"/>
          <w:noProof/>
        </w:rPr>
        <w:t xml:space="preserve">La végétation de la commune est une savane arbustive avec un tapis d’herbacées. Les espèces végétales constituant la formation de la savane arbustive sont : </w:t>
      </w:r>
      <w:r>
        <w:rPr>
          <w:rFonts w:ascii="Century Gothic" w:cs="Calibri" w:hAnsi="Century Gothic"/>
          <w:i/>
          <w:noProof/>
        </w:rPr>
        <w:t>Combretum sp</w:t>
      </w:r>
      <w:r>
        <w:rPr>
          <w:rFonts w:ascii="Century Gothic" w:cs="Calibri" w:hAnsi="Century Gothic"/>
          <w:i/>
          <w:noProof/>
        </w:rPr>
        <w:t>p</w:t>
      </w:r>
      <w:r>
        <w:rPr>
          <w:rFonts w:ascii="Century Gothic" w:cs="Calibri" w:hAnsi="Century Gothic"/>
          <w:noProof/>
        </w:rPr>
        <w:t>, Sclerocar</w:t>
      </w:r>
      <w:r>
        <w:rPr>
          <w:rFonts w:ascii="Century Gothic" w:cs="Calibri" w:hAnsi="Century Gothic"/>
          <w:noProof/>
        </w:rPr>
        <w:t>y</w:t>
      </w:r>
      <w:r>
        <w:rPr>
          <w:rFonts w:ascii="Century Gothic" w:cs="Calibri" w:hAnsi="Century Gothic"/>
          <w:noProof/>
        </w:rPr>
        <w:t xml:space="preserve">a birrea, </w:t>
      </w:r>
      <w:r>
        <w:rPr>
          <w:rFonts w:ascii="Century Gothic" w:cs="Calibri" w:hAnsi="Century Gothic"/>
          <w:i/>
          <w:noProof/>
        </w:rPr>
        <w:t>Piliostigma spp</w:t>
      </w:r>
      <w:r>
        <w:rPr>
          <w:rFonts w:ascii="Century Gothic" w:cs="Calibri" w:hAnsi="Century Gothic"/>
          <w:noProof/>
        </w:rPr>
        <w:t xml:space="preserve">, </w:t>
      </w:r>
      <w:r>
        <w:rPr>
          <w:rFonts w:ascii="Century Gothic" w:cs="Calibri" w:hAnsi="Century Gothic"/>
          <w:i/>
          <w:noProof/>
        </w:rPr>
        <w:t>Bombax costatum</w:t>
      </w:r>
      <w:r>
        <w:rPr>
          <w:rFonts w:ascii="Century Gothic" w:cs="Calibri" w:hAnsi="Century Gothic"/>
          <w:noProof/>
        </w:rPr>
        <w:t xml:space="preserve">,  </w:t>
      </w:r>
      <w:r>
        <w:rPr>
          <w:rFonts w:ascii="Century Gothic" w:cs="Calibri" w:hAnsi="Century Gothic"/>
          <w:i/>
          <w:noProof/>
        </w:rPr>
        <w:t>Vitellaria paradoxa</w:t>
      </w:r>
      <w:r>
        <w:rPr>
          <w:rFonts w:ascii="Century Gothic" w:cs="Calibri" w:hAnsi="Century Gothic"/>
          <w:noProof/>
        </w:rPr>
        <w:t xml:space="preserve">, </w:t>
      </w:r>
      <w:r>
        <w:rPr>
          <w:rFonts w:ascii="Century Gothic" w:cs="Calibri" w:hAnsi="Century Gothic"/>
          <w:i/>
          <w:noProof/>
        </w:rPr>
        <w:t>Parkia biglobosa</w:t>
      </w:r>
      <w:r>
        <w:rPr>
          <w:rFonts w:ascii="Century Gothic" w:cs="Calibri" w:hAnsi="Century Gothic"/>
          <w:noProof/>
        </w:rPr>
        <w:t xml:space="preserve">, </w:t>
      </w:r>
      <w:r>
        <w:rPr>
          <w:rFonts w:ascii="Century Gothic" w:cs="Calibri" w:hAnsi="Century Gothic"/>
          <w:i/>
          <w:noProof/>
        </w:rPr>
        <w:t>Adansonia digitata, Acacia nilotica, Detarium microcarpa, Faidherbia albida,</w:t>
      </w:r>
      <w:r>
        <w:rPr>
          <w:rFonts w:ascii="Century Gothic" w:cs="Calibri" w:hAnsi="Century Gothic"/>
          <w:noProof/>
        </w:rPr>
        <w:t xml:space="preserve"> </w:t>
      </w:r>
      <w:r>
        <w:rPr>
          <w:rFonts w:ascii="Century Gothic" w:cs="Calibri" w:hAnsi="Century Gothic"/>
          <w:i/>
          <w:noProof/>
        </w:rPr>
        <w:t>Acacia spp</w:t>
      </w:r>
      <w:r>
        <w:rPr>
          <w:rFonts w:ascii="Century Gothic" w:cs="Calibri" w:hAnsi="Century Gothic"/>
          <w:noProof/>
        </w:rPr>
        <w:t>, …</w:t>
      </w:r>
      <w:r>
        <w:rPr>
          <w:rFonts w:ascii="Century Gothic" w:cs="Calibri" w:hAnsi="Century Gothic"/>
          <w:noProof/>
        </w:rPr>
        <w:t xml:space="preserve"> </w:t>
      </w:r>
    </w:p>
    <w:p>
      <w:pPr>
        <w:pStyle w:val="style0"/>
        <w:jc w:val="both"/>
        <w:rPr>
          <w:rFonts w:ascii="Century Gothic" w:cs="Calibri" w:hAnsi="Century Gothic"/>
          <w:noProof/>
        </w:rPr>
      </w:pPr>
    </w:p>
    <w:p>
      <w:pPr>
        <w:pStyle w:val="style0"/>
        <w:jc w:val="both"/>
        <w:rPr>
          <w:rFonts w:ascii="Century Gothic" w:cs="Calibri" w:hAnsi="Century Gothic"/>
          <w:noProof/>
        </w:rPr>
      </w:pPr>
      <w:r>
        <w:rPr>
          <w:rFonts w:ascii="Century Gothic" w:cs="Calibri" w:hAnsi="Century Gothic"/>
          <w:noProof/>
        </w:rPr>
        <w:t xml:space="preserve">A ces espèces ligneuses, il faut ajouter les herbacées qui sont pour la plupart appétées par les animaux. Ce sont : </w:t>
      </w:r>
      <w:r>
        <w:rPr>
          <w:rFonts w:ascii="Century Gothic" w:cs="Calibri" w:hAnsi="Century Gothic"/>
          <w:i/>
          <w:noProof/>
        </w:rPr>
        <w:t>Andropogon spp, Pennisetum pedicelatum, Cenchrus biflorus</w:t>
      </w:r>
      <w:r>
        <w:rPr>
          <w:rFonts w:ascii="Century Gothic" w:cs="Calibri" w:hAnsi="Century Gothic"/>
          <w:noProof/>
        </w:rPr>
        <w:t>, etc.</w:t>
      </w:r>
    </w:p>
    <w:p>
      <w:pPr>
        <w:pStyle w:val="style0"/>
        <w:jc w:val="both"/>
        <w:rPr>
          <w:rFonts w:ascii="Century Gothic" w:cs="Calibri" w:hAnsi="Century Gothic"/>
          <w:noProof/>
        </w:rPr>
      </w:pPr>
      <w:r>
        <w:rPr>
          <w:rFonts w:ascii="Century Gothic" w:cs="Calibri" w:hAnsi="Century Gothic"/>
          <w:noProof/>
        </w:rPr>
        <w:t xml:space="preserve">Sur le long des cours d’eau, on rencontre des forêts galeries. Ces forêts sont constituées principalement d’espèces comme : </w:t>
      </w:r>
      <w:r>
        <w:rPr>
          <w:rFonts w:ascii="Century Gothic" w:cs="Calibri" w:hAnsi="Century Gothic"/>
          <w:i/>
          <w:noProof/>
        </w:rPr>
        <w:t>Berlina grandiflora, Anogeissus leiocarpus, Adina microcephala, Mimosa pigra, Mucuna pruriens, Mitragyna inermis, Ficus gnaphalocarpa</w:t>
      </w:r>
      <w:r>
        <w:rPr>
          <w:rFonts w:ascii="Century Gothic" w:cs="Calibri" w:hAnsi="Century Gothic"/>
          <w:noProof/>
        </w:rPr>
        <w:t>, etc.</w:t>
      </w:r>
    </w:p>
    <w:p>
      <w:pPr>
        <w:pStyle w:val="style0"/>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Les services techniques déconcentrés de l’état intervenant dans la commune sont les services de l’action sociale, la Circonscription de l’Education de Base, la Zone d’Appui Technique Agricole (ZATA), la Zone d’Appui Technique de l’Elevage (ZATE) et le service départemental de l’Environnement, de l’Economie Verte et du Changement Climatique (SDEEVCC).</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p>
    <w:p>
      <w:pPr>
        <w:pStyle w:val="style0"/>
        <w:spacing w:after="160" w:lineRule="auto" w:line="259"/>
        <w:rPr>
          <w:rFonts w:ascii="Century Gothic" w:hAnsi="Century Gothic"/>
          <w:b/>
        </w:rPr>
      </w:pPr>
      <w:r>
        <w:rPr>
          <w:rFonts w:ascii="Century Gothic" w:hAnsi="Century Gothic"/>
          <w:b/>
        </w:rPr>
        <w:br w:type="page"/>
      </w:r>
    </w:p>
    <w:p>
      <w:pPr>
        <w:pStyle w:val="style34"/>
        <w:rPr>
          <w:rFonts w:ascii="Century Gothic" w:hAnsi="Century Gothic"/>
        </w:rPr>
      </w:pPr>
      <w:r>
        <w:rPr>
          <w:rFonts w:ascii="Century Gothic" w:hAnsi="Century Gothic"/>
          <w:noProof/>
        </w:rPr>
        <w:drawing>
          <wp:anchor distT="0" distB="0" distL="114300" distR="114300" simplePos="false" relativeHeight="3" behindDoc="true" locked="false" layoutInCell="true" allowOverlap="true">
            <wp:simplePos x="0" y="0"/>
            <wp:positionH relativeFrom="column">
              <wp:posOffset>196850</wp:posOffset>
            </wp:positionH>
            <wp:positionV relativeFrom="paragraph">
              <wp:posOffset>369570</wp:posOffset>
            </wp:positionV>
            <wp:extent cx="5650865" cy="7795259"/>
            <wp:effectExtent l="0" t="0" r="6985" b="0"/>
            <wp:wrapTight wrapText="bothSides">
              <wp:wrapPolygon edited="false">
                <wp:start x="0" y="0"/>
                <wp:lineTo x="0" y="21537"/>
                <wp:lineTo x="21554" y="21537"/>
                <wp:lineTo x="21554" y="0"/>
                <wp:lineTo x="0" y="0"/>
              </wp:wrapPolygon>
            </wp:wrapTight>
            <wp:docPr id="1030" name="Image 2" descr="Espace_de_conservation de_la_commune_Zecc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rcRect l="0" t="0" r="0" b="0"/>
                    <a:stretch/>
                  </pic:blipFill>
                  <pic:spPr>
                    <a:xfrm rot="0">
                      <a:off x="0" y="0"/>
                      <a:ext cx="5650865" cy="7795259"/>
                    </a:xfrm>
                    <a:prstGeom prst="rect"/>
                    <a:ln>
                      <a:noFill/>
                    </a:ln>
                  </pic:spPr>
                </pic:pic>
              </a:graphicData>
            </a:graphic>
            <wp14:sizeRelH relativeFrom="page">
              <wp14:pctWidth>0</wp14:pctWidth>
            </wp14:sizeRelH>
            <wp14:sizeRelV relativeFrom="page">
              <wp14:pctHeight>0</wp14:pctHeight>
            </wp14:sizeRelV>
          </wp:anchor>
        </w:drawing>
      </w:r>
    </w:p>
    <w:bookmarkStart w:id="9" w:name="_Toc82049018"/>
    <w:p>
      <w:pPr>
        <w:pStyle w:val="style34"/>
        <w:jc w:val="center"/>
        <w:rPr>
          <w:rFonts w:ascii="Century Gothic" w:hAnsi="Century Gothic"/>
          <w:color w:val="auto"/>
          <w:sz w:val="20"/>
          <w:szCs w:val="20"/>
        </w:rPr>
      </w:pPr>
      <w:r>
        <w:rPr>
          <w:rFonts w:ascii="Century Gothic" w:hAnsi="Century Gothic"/>
          <w:color w:val="auto"/>
          <w:sz w:val="20"/>
          <w:szCs w:val="20"/>
        </w:rPr>
        <w:t xml:space="preserve">Figure </w:t>
      </w:r>
      <w:r>
        <w:rPr>
          <w:rFonts w:ascii="Century Gothic" w:hAnsi="Century Gothic"/>
          <w:color w:val="auto"/>
          <w:sz w:val="20"/>
          <w:szCs w:val="20"/>
        </w:rPr>
        <w:fldChar w:fldCharType="begin"/>
      </w:r>
      <w:r>
        <w:rPr>
          <w:rFonts w:ascii="Century Gothic" w:hAnsi="Century Gothic"/>
          <w:color w:val="auto"/>
          <w:sz w:val="20"/>
          <w:szCs w:val="20"/>
        </w:rPr>
        <w:instrText xml:space="preserve"> SEQ Figure \* ARABIC </w:instrText>
      </w:r>
      <w:r>
        <w:rPr>
          <w:rFonts w:ascii="Century Gothic" w:hAnsi="Century Gothic"/>
          <w:color w:val="auto"/>
          <w:sz w:val="20"/>
          <w:szCs w:val="20"/>
        </w:rPr>
        <w:fldChar w:fldCharType="separate"/>
      </w:r>
      <w:r>
        <w:rPr>
          <w:rFonts w:ascii="Century Gothic" w:hAnsi="Century Gothic"/>
          <w:noProof/>
          <w:color w:val="auto"/>
          <w:sz w:val="20"/>
          <w:szCs w:val="20"/>
        </w:rPr>
        <w:t>2</w:t>
      </w:r>
      <w:r>
        <w:rPr>
          <w:rFonts w:ascii="Century Gothic" w:hAnsi="Century Gothic"/>
          <w:color w:val="auto"/>
          <w:sz w:val="20"/>
          <w:szCs w:val="20"/>
        </w:rPr>
        <w:fldChar w:fldCharType="end"/>
      </w:r>
      <w:r>
        <w:rPr>
          <w:rFonts w:ascii="Century Gothic" w:hAnsi="Century Gothic"/>
          <w:color w:val="auto"/>
          <w:sz w:val="20"/>
          <w:szCs w:val="20"/>
        </w:rPr>
        <w:t>: Localisation des espaces de conservation</w:t>
      </w:r>
      <w:bookmarkEnd w:id="9"/>
    </w:p>
    <w:p>
      <w:pPr>
        <w:pStyle w:val="style0"/>
        <w:spacing w:after="160" w:lineRule="auto" w:line="259"/>
        <w:rPr>
          <w:rFonts w:ascii="Century Gothic" w:hAnsi="Century Gothic"/>
          <w:i/>
        </w:rPr>
      </w:pPr>
      <w:r>
        <w:rPr>
          <w:rFonts w:ascii="Century Gothic" w:hAnsi="Century Gothic"/>
          <w:i/>
        </w:rPr>
        <w:br w:type="page"/>
      </w:r>
    </w:p>
    <w:p>
      <w:pPr>
        <w:pStyle w:val="style0"/>
        <w:tabs>
          <w:tab w:val="left" w:leader="none" w:pos="9214"/>
          <w:tab w:val="left" w:leader="none" w:pos="9639"/>
        </w:tabs>
        <w:jc w:val="both"/>
        <w:rPr>
          <w:rFonts w:ascii="Century Gothic" w:hAnsi="Century Gothic"/>
        </w:rPr>
      </w:pPr>
    </w:p>
    <w:bookmarkStart w:id="10" w:name="_Toc82049040"/>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III</w:t>
      </w:r>
      <w:r>
        <w:rPr>
          <w:rFonts w:ascii="Century Gothic" w:hAnsi="Century Gothic"/>
          <w:sz w:val="24"/>
          <w:szCs w:val="24"/>
        </w:rPr>
        <w:t>. Description du PDIC/REDD+</w:t>
      </w:r>
      <w:bookmarkEnd w:id="10"/>
      <w:r>
        <w:rPr>
          <w:rFonts w:ascii="Century Gothic" w:hAnsi="Century Gothic"/>
          <w:sz w:val="24"/>
          <w:szCs w:val="24"/>
        </w:rPr>
        <w:t> </w:t>
      </w:r>
    </w:p>
    <w:p>
      <w:pPr>
        <w:pStyle w:val="style0"/>
        <w:tabs>
          <w:tab w:val="left" w:leader="none" w:pos="9214"/>
          <w:tab w:val="left" w:leader="none" w:pos="9639"/>
        </w:tabs>
        <w:jc w:val="both"/>
        <w:rPr>
          <w:rFonts w:ascii="Century Gothic" w:hAnsi="Century Gothic"/>
          <w:b/>
        </w:rPr>
      </w:pPr>
    </w:p>
    <w:bookmarkStart w:id="11" w:name="_Toc82049041"/>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3</w:t>
      </w:r>
      <w:r>
        <w:rPr>
          <w:rFonts w:ascii="Century Gothic" w:hAnsi="Century Gothic"/>
          <w:szCs w:val="24"/>
        </w:rPr>
        <w:t>.1  Quelles sont les « contraintes » auxquelles le PDIC REDD + répond ? :</w:t>
      </w:r>
      <w:bookmarkEnd w:id="11"/>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Les contraintes auxquelles répondent le PDIC/REDD+ de la Commune de </w:t>
      </w:r>
      <w:r>
        <w:rPr>
          <w:rFonts w:ascii="Century Gothic" w:hAnsi="Century Gothic"/>
        </w:rPr>
        <w:t>Zecco</w:t>
      </w:r>
      <w:r>
        <w:rPr>
          <w:rFonts w:ascii="Century Gothic" w:hAnsi="Century Gothic"/>
        </w:rPr>
        <w:t xml:space="preserve"> sont de plusieurs ordres.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b/>
          <w:i/>
          <w:u w:val="single"/>
        </w:rPr>
        <w:t>Les contraintes d’ordre écologique</w:t>
      </w:r>
      <w:r>
        <w:rPr>
          <w:rFonts w:ascii="Century Gothic" w:hAnsi="Century Gothic"/>
        </w:rPr>
        <w:t> sont caractérisées par :</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i/>
          <w:u w:val="single"/>
        </w:rPr>
        <w:t>Une forte régression des ressources forestières</w:t>
      </w:r>
      <w:r>
        <w:rPr>
          <w:rFonts w:ascii="Century Gothic" w:hAnsi="Century Gothic"/>
        </w:rPr>
        <w:t xml:space="preserve"> due aux changements des usages des terres. En effet, l’ensemb</w:t>
      </w:r>
      <w:r>
        <w:rPr>
          <w:rFonts w:ascii="Century Gothic" w:hAnsi="Century Gothic"/>
        </w:rPr>
        <w:t>le des formations forestières (</w:t>
      </w:r>
      <w:r>
        <w:rPr>
          <w:rFonts w:ascii="Century Gothic" w:hAnsi="Century Gothic"/>
        </w:rPr>
        <w:t xml:space="preserve">savane arborée, savanes arbustive et herbeuse) </w:t>
      </w:r>
      <w:r>
        <w:rPr>
          <w:rFonts w:ascii="Century Gothic" w:hAnsi="Century Gothic"/>
        </w:rPr>
        <w:t>couvraient 2 657 ha, soit 60,61% du territoire communal en 1989. Ce couvert forestier a subi une diminution moyenne annuelle de 43,14 ha, soit 4% en moyenne par an</w:t>
      </w:r>
      <w:r>
        <w:rPr>
          <w:rFonts w:ascii="Century Gothic" w:hAnsi="Century Gothic"/>
        </w:rPr>
        <w:t xml:space="preserve">. A cela s’ajoutent </w:t>
      </w:r>
      <w:r>
        <w:rPr>
          <w:rFonts w:ascii="Century Gothic" w:cs="Tahoma" w:hAnsi="Century Gothic"/>
        </w:rPr>
        <w:t>l’exploitation intensive pour le bois d’œuvr</w:t>
      </w:r>
      <w:r>
        <w:rPr>
          <w:rFonts w:ascii="Century Gothic" w:cs="Tahoma" w:hAnsi="Century Gothic"/>
        </w:rPr>
        <w:t>e concernant la réalisation</w:t>
      </w:r>
      <w:r>
        <w:rPr>
          <w:rFonts w:ascii="Century Gothic" w:cs="Tahoma" w:hAnsi="Century Gothic"/>
        </w:rPr>
        <w:t xml:space="preserve"> de parc à </w:t>
      </w:r>
      <w:r>
        <w:rPr>
          <w:rFonts w:ascii="Century Gothic" w:cs="Tahoma" w:hAnsi="Century Gothic"/>
        </w:rPr>
        <w:t>bétail</w:t>
      </w:r>
      <w:r>
        <w:rPr>
          <w:rFonts w:ascii="Century Gothic" w:cs="Tahoma" w:hAnsi="Century Gothic"/>
        </w:rPr>
        <w:t>, les clôtures de jardins, l’exploitation à titre de pâturage et la confection des maisons Kasséna qui consomme énormément du bois</w:t>
      </w:r>
      <w:r>
        <w:rPr>
          <w:rFonts w:ascii="Century Gothic" w:hAnsi="Century Gothic"/>
        </w:rPr>
        <w:t xml:space="preserve"> et le surpâturage.</w:t>
      </w:r>
    </w:p>
    <w:p>
      <w:pPr>
        <w:pStyle w:val="style0"/>
        <w:tabs>
          <w:tab w:val="left" w:leader="none" w:pos="9214"/>
          <w:tab w:val="left" w:leader="none" w:pos="9639"/>
        </w:tabs>
        <w:jc w:val="both"/>
        <w:rPr>
          <w:rFonts w:ascii="Century Gothic" w:hAnsi="Century Gothic"/>
        </w:rPr>
      </w:pPr>
      <w:r>
        <w:rPr>
          <w:rFonts w:ascii="Century Gothic" w:hAnsi="Century Gothic"/>
        </w:rPr>
        <w:t>Comme indiqué dans les figures 3 et 4 ci-dessous, la savane arborée est l’unité d’occupation des terres qui a connu le plus fort taux de régression avec un taux moyen annuel d’expansion spatiale de -4,34%. Notons également une forte progression des zones nues signifiant une dégradation accélérée du sol et donc une réduction des espaces agricoles.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center"/>
        <w:rPr>
          <w:rFonts w:ascii="Century Gothic" w:hAnsi="Century Gothic"/>
        </w:rPr>
      </w:pPr>
      <w:r>
        <w:rPr>
          <w:noProof/>
        </w:rPr>
      </w:r>
      <w:r>
        <w:rPr>
          <w:noProof/>
        </w:rPr>
      </w:r>
      <w:r>
        <w:rPr>
          <w:noProof/>
        </w:rPr>
      </w:r>
      <w:r>
        <w:rPr>
          <w:noProof/>
        </w:rPr>
        <w:drawing>
          <wp:inline distL="114300" distT="0" distB="0" distR="114300">
            <wp:extent cx="4467224" cy="2943224"/>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noProof/>
        </w:rPr>
      </w:r>
    </w:p>
    <w:bookmarkStart w:id="12" w:name="_Toc82049019"/>
    <w:p>
      <w:pPr>
        <w:pStyle w:val="style34"/>
        <w:rPr>
          <w:rFonts w:ascii="Century Gothic" w:hAnsi="Century Gothic"/>
          <w:sz w:val="20"/>
          <w:szCs w:val="20"/>
        </w:rPr>
      </w:pPr>
      <w:r>
        <w:rPr>
          <w:rFonts w:ascii="Century Gothic" w:hAnsi="Century Gothic"/>
          <w:color w:val="auto"/>
          <w:sz w:val="20"/>
          <w:szCs w:val="20"/>
        </w:rPr>
        <w:t xml:space="preserve">Figure </w:t>
      </w:r>
      <w:r>
        <w:rPr>
          <w:rFonts w:ascii="Century Gothic" w:hAnsi="Century Gothic"/>
          <w:color w:val="auto"/>
          <w:sz w:val="20"/>
          <w:szCs w:val="20"/>
        </w:rPr>
        <w:fldChar w:fldCharType="begin"/>
      </w:r>
      <w:r>
        <w:rPr>
          <w:rFonts w:ascii="Century Gothic" w:hAnsi="Century Gothic"/>
          <w:color w:val="auto"/>
          <w:sz w:val="20"/>
          <w:szCs w:val="20"/>
        </w:rPr>
        <w:instrText xml:space="preserve"> SEQ Figure \* ARABIC </w:instrText>
      </w:r>
      <w:r>
        <w:rPr>
          <w:rFonts w:ascii="Century Gothic" w:hAnsi="Century Gothic"/>
          <w:color w:val="auto"/>
          <w:sz w:val="20"/>
          <w:szCs w:val="20"/>
        </w:rPr>
        <w:fldChar w:fldCharType="separate"/>
      </w:r>
      <w:r>
        <w:rPr>
          <w:rFonts w:ascii="Century Gothic" w:hAnsi="Century Gothic"/>
          <w:noProof/>
          <w:color w:val="auto"/>
          <w:sz w:val="20"/>
          <w:szCs w:val="20"/>
        </w:rPr>
        <w:t>3</w:t>
      </w:r>
      <w:r>
        <w:rPr>
          <w:rFonts w:ascii="Century Gothic" w:hAnsi="Century Gothic"/>
          <w:color w:val="auto"/>
          <w:sz w:val="20"/>
          <w:szCs w:val="20"/>
        </w:rPr>
        <w:fldChar w:fldCharType="end"/>
      </w:r>
      <w:r>
        <w:rPr>
          <w:rFonts w:ascii="Century Gothic" w:hAnsi="Century Gothic"/>
          <w:color w:val="auto"/>
          <w:sz w:val="20"/>
          <w:szCs w:val="20"/>
        </w:rPr>
        <w:t>: Taux moyen annuel d'expansion spatiale de 1989 à 2020 de la commune de Zecco</w:t>
      </w:r>
      <w:bookmarkEnd w:id="12"/>
    </w:p>
    <w:p>
      <w:pPr>
        <w:pStyle w:val="style0"/>
        <w:tabs>
          <w:tab w:val="left" w:leader="none" w:pos="9214"/>
          <w:tab w:val="left" w:leader="none" w:pos="9639"/>
        </w:tabs>
        <w:jc w:val="both"/>
        <w:rPr>
          <w:rFonts w:ascii="Century Gothic" w:hAnsi="Century Gothic"/>
        </w:rPr>
      </w:pPr>
      <w:r>
        <w:rPr>
          <w:rFonts w:ascii="Century Gothic" w:hAnsi="Century Gothic"/>
        </w:rPr>
        <w:t>Cette forte régression des ressources forestières s’est faite essentiellement à la faveur d’une extension des espaces agricoles (avec un taux moyen annuel d’expansion spatiale de +1,85%) comme indiqué dans le tableau ci-après.</w:t>
      </w:r>
    </w:p>
    <w:p>
      <w:pPr>
        <w:pStyle w:val="style0"/>
        <w:spacing w:after="160" w:lineRule="auto" w:line="259"/>
        <w:rPr>
          <w:rFonts w:ascii="Century Gothic" w:hAnsi="Century Gothic"/>
        </w:rPr>
      </w:pPr>
      <w:r>
        <w:rPr>
          <w:rFonts w:ascii="Century Gothic" w:hAnsi="Century Gothic"/>
        </w:rPr>
        <w:br w:type="page"/>
      </w:r>
    </w:p>
    <w:p>
      <w:pPr>
        <w:pStyle w:val="style0"/>
        <w:tabs>
          <w:tab w:val="left" w:leader="none" w:pos="9214"/>
          <w:tab w:val="left" w:leader="none" w:pos="9639"/>
        </w:tabs>
        <w:jc w:val="both"/>
        <w:rPr>
          <w:rFonts w:ascii="Century Gothic" w:hAnsi="Century Gothic"/>
        </w:rPr>
      </w:pPr>
    </w:p>
    <w:bookmarkStart w:id="13" w:name="_Toc82049140"/>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II</w:t>
      </w:r>
      <w:r>
        <w:rPr>
          <w:rFonts w:ascii="Century Gothic" w:hAnsi="Century Gothic"/>
          <w:color w:val="auto"/>
          <w:sz w:val="22"/>
          <w:szCs w:val="22"/>
        </w:rPr>
        <w:fldChar w:fldCharType="end"/>
      </w:r>
      <w:r>
        <w:rPr>
          <w:rFonts w:ascii="Century Gothic" w:hAnsi="Century Gothic"/>
          <w:color w:val="auto"/>
          <w:sz w:val="22"/>
          <w:szCs w:val="22"/>
        </w:rPr>
        <w:t>: Etude diachronique 1989 - 2020 de l'occupation des terres de la commune de Zecco</w:t>
      </w:r>
      <w:bookmarkEnd w:id="13"/>
    </w:p>
    <w:tbl>
      <w:tblPr>
        <w:tblW w:w="5000" w:type="pct"/>
        <w:tblCellMar>
          <w:left w:w="70" w:type="dxa"/>
          <w:right w:w="70" w:type="dxa"/>
        </w:tblCellMar>
        <w:tblLook w:val="04A0" w:firstRow="1" w:lastRow="0" w:firstColumn="1" w:lastColumn="0" w:noHBand="0" w:noVBand="1"/>
      </w:tblPr>
      <w:tblGrid>
        <w:gridCol w:w="2828"/>
        <w:gridCol w:w="3002"/>
        <w:gridCol w:w="1174"/>
        <w:gridCol w:w="1157"/>
        <w:gridCol w:w="611"/>
        <w:gridCol w:w="867"/>
      </w:tblGrid>
      <w:tr>
        <w:trPr>
          <w:trHeight w:val="315" w:hRule="atLeast"/>
        </w:trPr>
        <w:tc>
          <w:tcPr>
            <w:tcW w:w="1467" w:type="pct"/>
            <w:tcBorders>
              <w:top w:val="nil"/>
              <w:left w:val="nil"/>
              <w:bottom w:val="nil"/>
              <w:right w:val="nil"/>
            </w:tcBorders>
            <w:shd w:val="clear" w:color="auto" w:fill="auto"/>
            <w:noWrap/>
            <w:vAlign w:val="center"/>
            <w:hideMark/>
          </w:tcPr>
          <w:p>
            <w:pPr>
              <w:pStyle w:val="style0"/>
              <w:rPr>
                <w:rFonts w:ascii="Century Gothic" w:hAnsi="Century Gothic"/>
                <w:sz w:val="18"/>
                <w:szCs w:val="18"/>
              </w:rPr>
            </w:pPr>
          </w:p>
        </w:tc>
        <w:tc>
          <w:tcPr>
            <w:tcW w:w="3533"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Unité d'occupation des terres en 2020</w:t>
            </w:r>
          </w:p>
        </w:tc>
      </w:tr>
      <w:tr>
        <w:tblPrEx/>
        <w:trPr>
          <w:trHeight w:val="300" w:hRule="atLeast"/>
        </w:trPr>
        <w:tc>
          <w:tcPr>
            <w:tcW w:w="146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Unité d'occupation des terres en 1989</w:t>
            </w:r>
          </w:p>
        </w:tc>
        <w:tc>
          <w:tcPr>
            <w:tcW w:w="1557" w:type="pct"/>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Culture pluviale et territoire agroforestier</w:t>
            </w:r>
          </w:p>
        </w:tc>
        <w:tc>
          <w:tcPr>
            <w:tcW w:w="609" w:type="pct"/>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arborée</w:t>
            </w:r>
          </w:p>
        </w:tc>
        <w:tc>
          <w:tcPr>
            <w:tcW w:w="600" w:type="pct"/>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arbustive</w:t>
            </w:r>
          </w:p>
        </w:tc>
        <w:tc>
          <w:tcPr>
            <w:tcW w:w="317" w:type="pct"/>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Zone nue</w:t>
            </w:r>
          </w:p>
        </w:tc>
        <w:tc>
          <w:tcPr>
            <w:tcW w:w="450" w:type="pct"/>
            <w:tcBorders>
              <w:top w:val="nil"/>
              <w:left w:val="nil"/>
              <w:bottom w:val="single" w:sz="4" w:space="0" w:color="auto"/>
              <w:right w:val="single" w:sz="8"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Total général</w:t>
            </w:r>
          </w:p>
        </w:tc>
      </w:tr>
      <w:tr>
        <w:tblPrEx/>
        <w:trPr>
          <w:trHeight w:val="300" w:hRule="atLeast"/>
        </w:trPr>
        <w:tc>
          <w:tcPr>
            <w:tcW w:w="1467" w:type="pct"/>
            <w:tcBorders>
              <w:top w:val="nil"/>
              <w:left w:val="single" w:sz="8" w:space="0" w:color="auto"/>
              <w:bottom w:val="single" w:sz="4" w:space="0" w:color="auto"/>
              <w:right w:val="single" w:sz="8"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Culture pluviale et territoire agroforestier</w:t>
            </w:r>
          </w:p>
        </w:tc>
        <w:tc>
          <w:tcPr>
            <w:tcW w:w="1557" w:type="pct"/>
            <w:tcBorders>
              <w:top w:val="nil"/>
              <w:left w:val="nil"/>
              <w:bottom w:val="single" w:sz="4" w:space="0" w:color="auto"/>
              <w:right w:val="single" w:sz="4" w:space="0" w:color="auto"/>
            </w:tcBorders>
            <w:shd w:val="clear" w:color="000000" w:fill="d0cece"/>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1 349,36</w:t>
            </w:r>
          </w:p>
        </w:tc>
        <w:tc>
          <w:tcPr>
            <w:tcW w:w="609"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p>
        </w:tc>
        <w:tc>
          <w:tcPr>
            <w:tcW w:w="600"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374,60</w:t>
            </w:r>
          </w:p>
        </w:tc>
        <w:tc>
          <w:tcPr>
            <w:tcW w:w="317"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2,26</w:t>
            </w:r>
          </w:p>
        </w:tc>
        <w:tc>
          <w:tcPr>
            <w:tcW w:w="450" w:type="pct"/>
            <w:tcBorders>
              <w:top w:val="nil"/>
              <w:left w:val="nil"/>
              <w:bottom w:val="single" w:sz="4" w:space="0" w:color="auto"/>
              <w:right w:val="single" w:sz="8"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1 726,22</w:t>
            </w:r>
          </w:p>
        </w:tc>
      </w:tr>
      <w:tr>
        <w:tblPrEx/>
        <w:trPr>
          <w:trHeight w:val="300" w:hRule="atLeast"/>
        </w:trPr>
        <w:tc>
          <w:tcPr>
            <w:tcW w:w="1467" w:type="pct"/>
            <w:tcBorders>
              <w:top w:val="nil"/>
              <w:left w:val="single" w:sz="8" w:space="0" w:color="auto"/>
              <w:bottom w:val="single" w:sz="4" w:space="0" w:color="auto"/>
              <w:right w:val="single" w:sz="8"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arborée</w:t>
            </w:r>
          </w:p>
        </w:tc>
        <w:tc>
          <w:tcPr>
            <w:tcW w:w="1557"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8,96</w:t>
            </w:r>
          </w:p>
        </w:tc>
        <w:tc>
          <w:tcPr>
            <w:tcW w:w="609" w:type="pct"/>
            <w:tcBorders>
              <w:top w:val="nil"/>
              <w:left w:val="nil"/>
              <w:bottom w:val="single" w:sz="4" w:space="0" w:color="auto"/>
              <w:right w:val="single" w:sz="4" w:space="0" w:color="auto"/>
            </w:tcBorders>
            <w:shd w:val="clear" w:color="000000" w:fill="d0cece"/>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1,17</w:t>
            </w:r>
          </w:p>
        </w:tc>
        <w:tc>
          <w:tcPr>
            <w:tcW w:w="600"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5,07</w:t>
            </w:r>
          </w:p>
        </w:tc>
        <w:tc>
          <w:tcPr>
            <w:tcW w:w="317"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p>
        </w:tc>
        <w:tc>
          <w:tcPr>
            <w:tcW w:w="450" w:type="pct"/>
            <w:tcBorders>
              <w:top w:val="nil"/>
              <w:left w:val="nil"/>
              <w:bottom w:val="single" w:sz="4" w:space="0" w:color="auto"/>
              <w:right w:val="single" w:sz="8"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15,19</w:t>
            </w:r>
          </w:p>
        </w:tc>
      </w:tr>
      <w:tr>
        <w:tblPrEx/>
        <w:trPr>
          <w:trHeight w:val="300" w:hRule="atLeast"/>
        </w:trPr>
        <w:tc>
          <w:tcPr>
            <w:tcW w:w="1467" w:type="pct"/>
            <w:tcBorders>
              <w:top w:val="nil"/>
              <w:left w:val="single" w:sz="8" w:space="0" w:color="auto"/>
              <w:bottom w:val="single" w:sz="4" w:space="0" w:color="auto"/>
              <w:right w:val="single" w:sz="8"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arbustive et herbeuse</w:t>
            </w:r>
          </w:p>
        </w:tc>
        <w:tc>
          <w:tcPr>
            <w:tcW w:w="1557"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1 702,59</w:t>
            </w:r>
          </w:p>
        </w:tc>
        <w:tc>
          <w:tcPr>
            <w:tcW w:w="609"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2,79</w:t>
            </w:r>
          </w:p>
        </w:tc>
        <w:tc>
          <w:tcPr>
            <w:tcW w:w="600" w:type="pct"/>
            <w:tcBorders>
              <w:top w:val="nil"/>
              <w:left w:val="nil"/>
              <w:bottom w:val="single" w:sz="4" w:space="0" w:color="auto"/>
              <w:right w:val="single" w:sz="4" w:space="0" w:color="auto"/>
            </w:tcBorders>
            <w:shd w:val="clear" w:color="000000" w:fill="d0cece"/>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935,52</w:t>
            </w:r>
          </w:p>
        </w:tc>
        <w:tc>
          <w:tcPr>
            <w:tcW w:w="317" w:type="pct"/>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0,42</w:t>
            </w:r>
          </w:p>
        </w:tc>
        <w:tc>
          <w:tcPr>
            <w:tcW w:w="450" w:type="pct"/>
            <w:tcBorders>
              <w:top w:val="nil"/>
              <w:left w:val="nil"/>
              <w:bottom w:val="single" w:sz="4" w:space="0" w:color="auto"/>
              <w:right w:val="single" w:sz="8"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2 641,32</w:t>
            </w:r>
          </w:p>
        </w:tc>
      </w:tr>
      <w:tr>
        <w:tblPrEx/>
        <w:trPr>
          <w:trHeight w:val="315" w:hRule="atLeast"/>
        </w:trPr>
        <w:tc>
          <w:tcPr>
            <w:tcW w:w="1467" w:type="pct"/>
            <w:tcBorders>
              <w:top w:val="nil"/>
              <w:left w:val="single" w:sz="8" w:space="0" w:color="auto"/>
              <w:bottom w:val="single" w:sz="8" w:space="0" w:color="auto"/>
              <w:right w:val="single" w:sz="8"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Total général</w:t>
            </w:r>
          </w:p>
        </w:tc>
        <w:tc>
          <w:tcPr>
            <w:tcW w:w="1557" w:type="pct"/>
            <w:tcBorders>
              <w:top w:val="nil"/>
              <w:left w:val="nil"/>
              <w:bottom w:val="single" w:sz="8"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3 060,90</w:t>
            </w:r>
          </w:p>
        </w:tc>
        <w:tc>
          <w:tcPr>
            <w:tcW w:w="609" w:type="pct"/>
            <w:tcBorders>
              <w:top w:val="nil"/>
              <w:left w:val="nil"/>
              <w:bottom w:val="single" w:sz="8"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3,96</w:t>
            </w:r>
          </w:p>
        </w:tc>
        <w:tc>
          <w:tcPr>
            <w:tcW w:w="600" w:type="pct"/>
            <w:tcBorders>
              <w:top w:val="nil"/>
              <w:left w:val="nil"/>
              <w:bottom w:val="single" w:sz="8"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1 315,19</w:t>
            </w:r>
          </w:p>
        </w:tc>
        <w:tc>
          <w:tcPr>
            <w:tcW w:w="317" w:type="pct"/>
            <w:tcBorders>
              <w:top w:val="nil"/>
              <w:left w:val="nil"/>
              <w:bottom w:val="single" w:sz="8"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2,67</w:t>
            </w:r>
          </w:p>
        </w:tc>
        <w:tc>
          <w:tcPr>
            <w:tcW w:w="450" w:type="pct"/>
            <w:tcBorders>
              <w:top w:val="nil"/>
              <w:left w:val="nil"/>
              <w:bottom w:val="single" w:sz="8" w:space="0" w:color="auto"/>
              <w:right w:val="single" w:sz="8"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4 382,73</w:t>
            </w:r>
          </w:p>
        </w:tc>
      </w:tr>
    </w:tbl>
    <w:p>
      <w:pPr>
        <w:pStyle w:val="style0"/>
        <w:tabs>
          <w:tab w:val="left" w:leader="none" w:pos="9214"/>
          <w:tab w:val="left" w:leader="none" w:pos="9639"/>
        </w:tabs>
        <w:jc w:val="both"/>
        <w:rPr>
          <w:rFonts w:ascii="Century Gothic" w:hAnsi="Century Gothic"/>
          <w:sz w:val="20"/>
          <w:szCs w:val="20"/>
        </w:rPr>
      </w:pPr>
      <w:r>
        <w:rPr>
          <w:rFonts w:ascii="Century Gothic" w:hAnsi="Century Gothic"/>
          <w:sz w:val="20"/>
          <w:szCs w:val="20"/>
        </w:rPr>
        <w:t xml:space="preserve">Source : données de la présente étude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Du tableau ci-dessus, il ressort qu’entre1989 et 2020, 1 702,59 ha de savane arbustive et herbeuse (soit 64%) et 8,96 ha de savane arborée (soit 59%) ont été transformés en terre agricole tandis que 374,60 ha (22%) d’espaces agricoles ont été laissés en jachère formant des savanes arbustives.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En somme, l’on constate une dynamique négative de l’évolution du couvert forestier de la comme de Zecco d’où l’opportunité de la prise de mesures de restauration du couvert forestier et de réduction de l’expansion des superficies agricoles à travers des actions d’intensification.</w:t>
      </w:r>
    </w:p>
    <w:p>
      <w:pPr>
        <w:pStyle w:val="style0"/>
        <w:tabs>
          <w:tab w:val="left" w:leader="none" w:pos="9214"/>
          <w:tab w:val="left" w:leader="none" w:pos="9639"/>
        </w:tabs>
        <w:jc w:val="both"/>
        <w:rPr>
          <w:rFonts w:ascii="Century Gothic" w:hAnsi="Century Gothic"/>
        </w:rPr>
        <w:sectPr>
          <w:pgSz w:w="11920" w:h="16840" w:orient="portrait"/>
          <w:pgMar w:top="1134" w:right="1134" w:bottom="1134" w:left="1134" w:header="709" w:footer="709" w:gutter="0"/>
          <w:pgNumType w:start="1"/>
          <w:cols w:space="708"/>
          <w:docGrid w:linePitch="360"/>
        </w:sectPr>
      </w:pPr>
    </w:p>
    <w:p>
      <w:pPr>
        <w:pStyle w:val="style0"/>
        <w:tabs>
          <w:tab w:val="left" w:leader="none" w:pos="9214"/>
          <w:tab w:val="left" w:leader="none" w:pos="9639"/>
        </w:tabs>
        <w:jc w:val="center"/>
        <w:rPr>
          <w:rFonts w:ascii="Century Gothic" w:hAnsi="Century Gothic"/>
        </w:rPr>
      </w:pPr>
      <w:r>
        <w:rPr>
          <w:rFonts w:ascii="Century Gothic" w:hAnsi="Century Gothic"/>
          <w:noProof/>
        </w:rPr>
        <w:object>
          <v:shape id="1033" type="#_x0000_t75" filled="f" stroked="f" alt="F:\SIG\Consultation\GaMoWigna\Zecco\Dynamique_octer_1989-2020_commune_Zecco.png" style="margin-left:0.0pt;margin-top:0.0pt;width:635.25pt;height:449.14pt;mso-wrap-distance-left:0.0pt;mso-wrap-distance-right:0.0pt;visibility:visible;">
            <w10:anchorlock/>
            <v:imagedata r:id="rId7" embosscolor="white" o:title=""/>
            <v:stroke on="f"/>
            <v:fill/>
          </v:shape>
          <o:OLEObject Type="EMBED" ProgID="Excel.Chart.8" ShapeID="1033" DrawAspect="Content" ObjectID="0" r:id="rId8"/>
        </w:object>
      </w:r>
    </w:p>
    <w:bookmarkStart w:id="14" w:name="_Toc82049020"/>
    <w:p>
      <w:pPr>
        <w:pStyle w:val="style34"/>
        <w:spacing w:after="0"/>
        <w:jc w:val="center"/>
        <w:rPr>
          <w:rFonts w:ascii="Century Gothic" w:hAnsi="Century Gothic"/>
          <w:sz w:val="20"/>
          <w:szCs w:val="20"/>
        </w:rPr>
      </w:pPr>
      <w:r>
        <w:rPr>
          <w:rFonts w:ascii="Century Gothic" w:hAnsi="Century Gothic"/>
          <w:color w:val="auto"/>
          <w:sz w:val="20"/>
          <w:szCs w:val="20"/>
        </w:rPr>
        <w:t xml:space="preserve">Figure </w:t>
      </w:r>
      <w:r>
        <w:rPr>
          <w:rFonts w:ascii="Century Gothic" w:hAnsi="Century Gothic"/>
          <w:color w:val="auto"/>
          <w:sz w:val="20"/>
          <w:szCs w:val="20"/>
        </w:rPr>
        <w:fldChar w:fldCharType="begin"/>
      </w:r>
      <w:r>
        <w:rPr>
          <w:rFonts w:ascii="Century Gothic" w:hAnsi="Century Gothic"/>
          <w:color w:val="auto"/>
          <w:sz w:val="20"/>
          <w:szCs w:val="20"/>
        </w:rPr>
        <w:instrText xml:space="preserve"> SEQ Figure \* ARABIC </w:instrText>
      </w:r>
      <w:r>
        <w:rPr>
          <w:rFonts w:ascii="Century Gothic" w:hAnsi="Century Gothic"/>
          <w:color w:val="auto"/>
          <w:sz w:val="20"/>
          <w:szCs w:val="20"/>
        </w:rPr>
        <w:fldChar w:fldCharType="separate"/>
      </w:r>
      <w:r>
        <w:rPr>
          <w:rFonts w:ascii="Century Gothic" w:hAnsi="Century Gothic"/>
          <w:noProof/>
          <w:color w:val="auto"/>
          <w:sz w:val="20"/>
          <w:szCs w:val="20"/>
        </w:rPr>
        <w:t>4</w:t>
      </w:r>
      <w:r>
        <w:rPr>
          <w:rFonts w:ascii="Century Gothic" w:hAnsi="Century Gothic"/>
          <w:color w:val="auto"/>
          <w:sz w:val="20"/>
          <w:szCs w:val="20"/>
        </w:rPr>
        <w:fldChar w:fldCharType="end"/>
      </w:r>
      <w:r>
        <w:rPr>
          <w:rFonts w:ascii="Century Gothic" w:hAnsi="Century Gothic"/>
          <w:color w:val="auto"/>
          <w:sz w:val="20"/>
          <w:szCs w:val="20"/>
        </w:rPr>
        <w:t>: Occupation des terres de la commune de Zecco en 1989 et en 2020</w:t>
      </w:r>
      <w:bookmarkEnd w:id="14"/>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sectPr>
          <w:pgSz w:w="16840" w:h="11920" w:orient="landscape"/>
          <w:pgMar w:top="1134" w:right="1134" w:bottom="1134" w:left="1134" w:header="709" w:footer="709" w:gutter="0"/>
          <w:cols w:space="708"/>
          <w:docGrid w:linePitch="360"/>
        </w:sect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i/>
        </w:rPr>
      </w:pPr>
      <w:r>
        <w:rPr>
          <w:rFonts w:ascii="Century Gothic" w:hAnsi="Century Gothic"/>
          <w:i/>
          <w:u w:val="single"/>
        </w:rPr>
        <w:t>Les effets induits des changements et de la variabilité climatiques</w:t>
      </w:r>
      <w:r>
        <w:rPr>
          <w:rFonts w:ascii="Century Gothic" w:hAnsi="Century Gothic"/>
        </w:rPr>
        <w:t> : A l’instar du Burkina Faso, la commune de Zecco est de nos jours, sujette aux manifestations des changements climatiques. Il se traduit, selon la perception des populations par les changements pluviométriques,  l’accroissement soutenu des températures enregistrées (</w:t>
      </w:r>
      <w:r>
        <w:rPr>
          <w:rFonts w:ascii="Century Gothic" w:cs="Arial" w:hAnsi="Century Gothic"/>
        </w:rPr>
        <w:t>ensoleillement</w:t>
      </w:r>
      <w:r>
        <w:rPr>
          <w:rFonts w:ascii="Century Gothic" w:hAnsi="Century Gothic"/>
        </w:rPr>
        <w:t xml:space="preserve"> </w:t>
      </w:r>
      <w:r>
        <w:rPr>
          <w:rFonts w:ascii="Century Gothic" w:cs="Arial" w:hAnsi="Century Gothic"/>
        </w:rPr>
        <w:t xml:space="preserve">chaleurs, la </w:t>
      </w:r>
      <w:r>
        <w:rPr>
          <w:rFonts w:ascii="Century Gothic" w:hAnsi="Century Gothic"/>
        </w:rPr>
        <w:t xml:space="preserve">  récurrence des inondations à l’image des celles de 2006, 2016 et de 2017 ont été les plus catastrophiques pour les populations et la </w:t>
      </w:r>
      <w:r>
        <w:rPr>
          <w:rFonts w:ascii="Century Gothic" w:cs="Arial" w:hAnsi="Century Gothic"/>
        </w:rPr>
        <w:t>récurrence des grands vents et de plus en plus</w:t>
      </w:r>
      <w:r>
        <w:rPr>
          <w:rFonts w:ascii="Century Gothic" w:hAnsi="Century Gothic"/>
        </w:rPr>
        <w:t xml:space="preserve"> violents, etc.</w:t>
      </w:r>
    </w:p>
    <w:p>
      <w:pPr>
        <w:pStyle w:val="style0"/>
        <w:tabs>
          <w:tab w:val="left" w:leader="none" w:pos="9214"/>
          <w:tab w:val="left" w:leader="none" w:pos="9639"/>
        </w:tabs>
        <w:jc w:val="both"/>
        <w:rPr>
          <w:rFonts w:ascii="Century Gothic" w:hAnsi="Century Gothic"/>
          <w:highlight w:val="cyan"/>
        </w:rPr>
      </w:pPr>
    </w:p>
    <w:p>
      <w:pPr>
        <w:pStyle w:val="style0"/>
        <w:jc w:val="both"/>
        <w:rPr>
          <w:rFonts w:ascii="Century Gothic" w:hAnsi="Century Gothic"/>
        </w:rPr>
      </w:pPr>
      <w:r>
        <w:rPr>
          <w:rFonts w:ascii="Century Gothic" w:hAnsi="Century Gothic"/>
          <w:i/>
          <w:u w:val="single"/>
        </w:rPr>
        <w:t>Les risques de pollution de l’environnement </w:t>
      </w:r>
      <w:r>
        <w:rPr>
          <w:rFonts w:ascii="Century Gothic" w:hAnsi="Century Gothic"/>
        </w:rPr>
        <w:t>: Au niveau du secteur des mines, on note que des tentatives d’ouverture de mines artisanales ont été entreprises. Mais rapidement arrêté</w:t>
      </w:r>
      <w:r>
        <w:rPr>
          <w:rFonts w:ascii="Century Gothic" w:hAnsi="Century Gothic"/>
        </w:rPr>
        <w:t>e</w:t>
      </w:r>
      <w:r>
        <w:rPr>
          <w:rFonts w:ascii="Century Gothic" w:hAnsi="Century Gothic"/>
        </w:rPr>
        <w:t>s par les autorités communales avec l’appui des autorités provinciales.</w:t>
      </w:r>
    </w:p>
    <w:p>
      <w:pPr>
        <w:pStyle w:val="style0"/>
        <w:jc w:val="both"/>
        <w:rPr>
          <w:rFonts w:ascii="Century Gothic" w:hAnsi="Century Gothic"/>
        </w:rPr>
      </w:pPr>
    </w:p>
    <w:p>
      <w:pPr>
        <w:pStyle w:val="style0"/>
        <w:jc w:val="both"/>
        <w:rPr>
          <w:rFonts w:ascii="Century Gothic" w:hAnsi="Century Gothic"/>
        </w:rPr>
      </w:pPr>
      <w:r>
        <w:rPr>
          <w:rFonts w:ascii="Century Gothic" w:hAnsi="Century Gothic"/>
        </w:rPr>
        <w:t xml:space="preserve">Bien que n’existant pas formellement, les autorités communales devraient maintenir de vigilance car dans la commune voisine qu’est Tiébélé, </w:t>
      </w:r>
      <w:r>
        <w:rPr>
          <w:rFonts w:ascii="Century Gothic" w:hAnsi="Century Gothic"/>
        </w:rPr>
        <w:t>des</w:t>
      </w:r>
      <w:r>
        <w:rPr>
          <w:rFonts w:ascii="Century Gothic" w:hAnsi="Century Gothic"/>
        </w:rPr>
        <w:t xml:space="preserve"> orpailleurs</w:t>
      </w:r>
      <w:r>
        <w:rPr>
          <w:rFonts w:ascii="Century Gothic" w:hAnsi="Century Gothic"/>
        </w:rPr>
        <w:t xml:space="preserve"> clandestins</w:t>
      </w:r>
      <w:r>
        <w:rPr>
          <w:rFonts w:ascii="Century Gothic" w:hAnsi="Century Gothic"/>
        </w:rPr>
        <w:t xml:space="preserve"> se déplacent sur des sites isolés pour procéder au lavage des minerais à l’aide de produits </w:t>
      </w:r>
      <w:r>
        <w:rPr>
          <w:rFonts w:ascii="Century Gothic" w:hAnsi="Century Gothic"/>
        </w:rPr>
        <w:t>dangereux</w:t>
      </w:r>
      <w:r>
        <w:rPr>
          <w:rFonts w:ascii="Century Gothic" w:hAnsi="Century Gothic"/>
        </w:rPr>
        <w:t xml:space="preserve"> (cyanure). Il n’est donc pas exclus que certaines localités de la commune soient visées pas ces orpailleurs clandestins. </w:t>
      </w:r>
    </w:p>
    <w:p>
      <w:pPr>
        <w:pStyle w:val="style0"/>
        <w:tabs>
          <w:tab w:val="left" w:leader="none" w:pos="9214"/>
          <w:tab w:val="left" w:leader="none" w:pos="9639"/>
        </w:tabs>
        <w:jc w:val="both"/>
        <w:rPr>
          <w:rFonts w:ascii="Century Gothic" w:hAnsi="Century Gothic"/>
          <w:highlight w:val="cyan"/>
        </w:rPr>
      </w:pPr>
    </w:p>
    <w:p>
      <w:pPr>
        <w:pStyle w:val="style4115"/>
        <w:tabs>
          <w:tab w:val="left" w:leader="none" w:pos="7032"/>
          <w:tab w:val="left" w:leader="none" w:pos="9214"/>
          <w:tab w:val="left" w:leader="none" w:pos="9639"/>
        </w:tabs>
        <w:jc w:val="both"/>
        <w:rPr>
          <w:rFonts w:cs="Times New Roman"/>
          <w:b/>
        </w:rPr>
      </w:pPr>
      <w:r>
        <w:rPr>
          <w:rFonts w:cs="Times New Roman"/>
          <w:b/>
          <w:i/>
          <w:u w:val="single"/>
        </w:rPr>
        <w:t>Les contraintes d’ordre socio-économique</w:t>
      </w:r>
    </w:p>
    <w:p>
      <w:pPr>
        <w:pStyle w:val="style4115"/>
        <w:tabs>
          <w:tab w:val="left" w:leader="none" w:pos="9214"/>
          <w:tab w:val="left" w:leader="none" w:pos="9639"/>
        </w:tabs>
        <w:jc w:val="both"/>
        <w:rPr>
          <w:rFonts w:cs="Times New Roman"/>
        </w:rPr>
      </w:pPr>
    </w:p>
    <w:p>
      <w:pPr>
        <w:pStyle w:val="style0"/>
        <w:jc w:val="both"/>
        <w:rPr>
          <w:rFonts w:ascii="Century Gothic" w:cs="Calibri" w:hAnsi="Century Gothic"/>
        </w:rPr>
      </w:pPr>
      <w:r>
        <w:rPr>
          <w:rFonts w:ascii="Century Gothic" w:cs="Calibri" w:hAnsi="Century Gothic"/>
        </w:rPr>
        <w:t xml:space="preserve">La dégradation des sols est un problème général connu de tous mais variant selon les zones. Elle se produit à des échelles différentes. Selon les producteurs, les sols sont fortement dégradés. </w:t>
      </w:r>
    </w:p>
    <w:p>
      <w:pPr>
        <w:pStyle w:val="style0"/>
        <w:jc w:val="both"/>
        <w:rPr>
          <w:rFonts w:ascii="Century Gothic" w:cs="Calibri" w:hAnsi="Century Gothic"/>
        </w:rPr>
      </w:pPr>
    </w:p>
    <w:p>
      <w:pPr>
        <w:pStyle w:val="style0"/>
        <w:jc w:val="both"/>
        <w:rPr>
          <w:rFonts w:ascii="Century Gothic" w:cs="Calibri" w:hAnsi="Century Gothic"/>
        </w:rPr>
      </w:pPr>
      <w:r>
        <w:rPr>
          <w:rFonts w:ascii="Century Gothic" w:cs="Calibri" w:hAnsi="Century Gothic"/>
        </w:rPr>
        <w:t xml:space="preserve">La </w:t>
      </w:r>
      <w:r>
        <w:rPr>
          <w:rFonts w:ascii="Century Gothic" w:cs="Calibri" w:hAnsi="Century Gothic"/>
        </w:rPr>
        <w:t>commune compte en grande partie des sols dégradés et les semences utilisées sont d’origine locale à cycle long en grande partie. Néanmoins, on note l’introduction timide de nouvelles variétés améliorées. Pour la campagne écoulée, les producteurs de Zecco ont reçu des dotations en semences qui sont arrivées tardivement.</w:t>
      </w:r>
    </w:p>
    <w:p>
      <w:pPr>
        <w:pStyle w:val="style0"/>
        <w:jc w:val="both"/>
        <w:rPr>
          <w:rFonts w:ascii="Century Gothic" w:cs="Calibri" w:hAnsi="Century Gothic"/>
        </w:rPr>
      </w:pPr>
    </w:p>
    <w:p>
      <w:pPr>
        <w:pStyle w:val="style0"/>
        <w:jc w:val="both"/>
        <w:rPr>
          <w:rFonts w:ascii="Century Gothic" w:cs="Calibri" w:hAnsi="Century Gothic"/>
        </w:rPr>
      </w:pPr>
      <w:r>
        <w:rPr>
          <w:rFonts w:ascii="Century Gothic" w:cs="Calibri" w:hAnsi="Century Gothic"/>
        </w:rPr>
        <w:t>Pour faire face aux problèmes de dégradation des sols, certaines activités de DRS/CES sont entreprises en occurrence la réalisation des fosses fumières et cordons pierreux. On rencontre également l’utilisation de pesticides chimiques contre les attaques des larves d’insectes parasites.</w:t>
      </w:r>
    </w:p>
    <w:p>
      <w:pPr>
        <w:pStyle w:val="style4115"/>
        <w:tabs>
          <w:tab w:val="left" w:leader="none" w:pos="9214"/>
          <w:tab w:val="left" w:leader="none" w:pos="9639"/>
        </w:tabs>
        <w:jc w:val="both"/>
        <w:rPr>
          <w:rFonts w:cs="Times New Roman"/>
        </w:rPr>
      </w:pPr>
    </w:p>
    <w:p>
      <w:pPr>
        <w:pStyle w:val="style4115"/>
        <w:tabs>
          <w:tab w:val="left" w:leader="none" w:pos="9214"/>
          <w:tab w:val="left" w:leader="none" w:pos="9639"/>
        </w:tabs>
        <w:jc w:val="both"/>
        <w:rPr>
          <w:rFonts w:cs="Calibri"/>
        </w:rPr>
      </w:pPr>
      <w:r>
        <w:rPr>
          <w:rFonts w:cs="Times New Roman"/>
        </w:rPr>
        <w:t>L’agriculture constitue la plus grande menace de la pérennité des entités domaniales forestières</w:t>
      </w:r>
      <w:r>
        <w:rPr>
          <w:rFonts w:cs="Times New Roman"/>
        </w:rPr>
        <w:t xml:space="preserve"> comme étayée par les chiffres dans le paragraphe des contraintes d’ordre écologique</w:t>
      </w:r>
      <w:r>
        <w:rPr>
          <w:rFonts w:cs="Times New Roman"/>
        </w:rPr>
        <w:t>. Les principales raisons de cette pression croissante sur les forêts sont entre autres l’i</w:t>
      </w:r>
      <w:r>
        <w:rPr>
          <w:rFonts w:cs="Calibri"/>
        </w:rPr>
        <w:t>nsuffisance de terres cultivables, le faible niveau d’équipements agricoles, la faible maitrise des techniques de production, les difficultés d’approvisionnement en intrants agricoles, etc.</w:t>
      </w:r>
    </w:p>
    <w:p>
      <w:pPr>
        <w:pStyle w:val="style179"/>
        <w:tabs>
          <w:tab w:val="left" w:leader="none" w:pos="9214"/>
          <w:tab w:val="left" w:leader="none" w:pos="9639"/>
        </w:tabs>
        <w:autoSpaceDE w:val="false"/>
        <w:autoSpaceDN w:val="false"/>
        <w:adjustRightInd w:val="false"/>
        <w:ind w:left="0"/>
        <w:jc w:val="both"/>
        <w:rPr>
          <w:rFonts w:ascii="Century Gothic" w:hAnsi="Century Gothic"/>
          <w:color w:val="000000"/>
        </w:rPr>
      </w:pPr>
    </w:p>
    <w:p>
      <w:pPr>
        <w:pStyle w:val="style179"/>
        <w:tabs>
          <w:tab w:val="left" w:leader="none" w:pos="9214"/>
          <w:tab w:val="left" w:leader="none" w:pos="9639"/>
        </w:tabs>
        <w:autoSpaceDE w:val="false"/>
        <w:autoSpaceDN w:val="false"/>
        <w:adjustRightInd w:val="false"/>
        <w:ind w:left="0"/>
        <w:jc w:val="both"/>
        <w:rPr>
          <w:rFonts w:ascii="Century Gothic" w:hAnsi="Century Gothic"/>
        </w:rPr>
      </w:pPr>
      <w:r>
        <w:rPr>
          <w:rFonts w:ascii="Century Gothic" w:hAnsi="Century Gothic"/>
          <w:color w:val="000000"/>
        </w:rPr>
        <w:t xml:space="preserve">La mécanisation de l’agriculture. Les impératifs liés au semis en ligne et à la culture attelée et motorisée ont conduit à un décapage de la sylve au niveau des emblavures. Par ailleurs, l’usage abusif des pesticides et herbicides totaux impacte négativement sur la population des insectes pollinisateurs ainsi que des eaux, </w:t>
      </w:r>
      <w:r>
        <w:rPr>
          <w:rFonts w:ascii="Century Gothic" w:hAnsi="Century Gothic"/>
          <w:color w:val="000000"/>
        </w:rPr>
        <w:t xml:space="preserve">engendrant ainsi des faibles niveaux de productions de la biomasse de la végétation ligneuse naturelle. </w:t>
      </w:r>
    </w:p>
    <w:p>
      <w:pPr>
        <w:pStyle w:val="style179"/>
        <w:tabs>
          <w:tab w:val="left" w:leader="none" w:pos="9214"/>
          <w:tab w:val="left" w:leader="none" w:pos="9639"/>
        </w:tabs>
        <w:autoSpaceDE w:val="false"/>
        <w:autoSpaceDN w:val="false"/>
        <w:adjustRightInd w:val="false"/>
        <w:ind w:left="0"/>
        <w:jc w:val="both"/>
        <w:rPr>
          <w:rFonts w:ascii="Century Gothic" w:hAnsi="Century Gothic"/>
        </w:rPr>
      </w:pPr>
    </w:p>
    <w:p>
      <w:pPr>
        <w:pStyle w:val="style0"/>
        <w:jc w:val="both"/>
        <w:rPr>
          <w:rFonts w:ascii="Century Gothic" w:cs="Calibri" w:hAnsi="Century Gothic"/>
        </w:rPr>
      </w:pPr>
      <w:r>
        <w:rPr>
          <w:rFonts w:ascii="Century Gothic" w:cs="Calibri" w:hAnsi="Century Gothic"/>
        </w:rPr>
        <w:t>L’élevage, constitué des espèces animales suivantes : les bovins, les caprins, les ovins, et la volaille (poules et pintades) est confronté à des difficultés relatives à la recrudescence de certaines maladies animales comme la maladie de New Castle</w:t>
      </w:r>
      <w:r>
        <w:rPr>
          <w:rFonts w:ascii="Century Gothic" w:cs="Calibri" w:hAnsi="Century Gothic"/>
        </w:rPr>
        <w:t xml:space="preserve"> </w:t>
      </w:r>
      <w:r>
        <w:rPr>
          <w:rFonts w:ascii="Century Gothic" w:cs="Calibri" w:hAnsi="Century Gothic"/>
        </w:rPr>
        <w:t>ou peste aviaire et la variole pour la volaille, la pasteurellose, le charbon symptomatique, le charbon bactéridie, la péripneumonie bovine, la dermatose et les infections digestives pour les bovins et petits ruminants.</w:t>
      </w:r>
    </w:p>
    <w:p>
      <w:pPr>
        <w:pStyle w:val="style0"/>
        <w:jc w:val="both"/>
        <w:rPr>
          <w:rFonts w:ascii="Century Gothic" w:cs="Calibri" w:hAnsi="Century Gothic"/>
        </w:rPr>
      </w:pPr>
    </w:p>
    <w:p>
      <w:pPr>
        <w:pStyle w:val="style0"/>
        <w:jc w:val="both"/>
        <w:rPr>
          <w:rFonts w:ascii="Century Gothic" w:hAnsi="Century Gothic"/>
        </w:rPr>
      </w:pPr>
      <w:r>
        <w:rPr>
          <w:rFonts w:ascii="Century Gothic" w:cs="Calibri" w:hAnsi="Century Gothic"/>
        </w:rPr>
        <w:t xml:space="preserve">A cela s’ajoute la question du pâturage naturel qui est la principale source d’alimentation des animaux et dont la disponibilité demeure une problématique majeure. En effet, il n’existe pas de zone à vocation pastorale et les zones de pâtures sont essentiellement les enclaves de jachère, les zones à affleurement rocheuse et les collines. </w:t>
      </w:r>
    </w:p>
    <w:p>
      <w:pPr>
        <w:pStyle w:val="style179"/>
        <w:tabs>
          <w:tab w:val="left" w:leader="none" w:pos="9214"/>
          <w:tab w:val="left" w:leader="none" w:pos="9639"/>
        </w:tabs>
        <w:autoSpaceDE w:val="false"/>
        <w:autoSpaceDN w:val="false"/>
        <w:adjustRightInd w:val="false"/>
        <w:ind w:left="0"/>
        <w:jc w:val="both"/>
        <w:rPr>
          <w:rFonts w:ascii="Century Gothic" w:hAnsi="Century Gothic"/>
        </w:rPr>
      </w:pPr>
    </w:p>
    <w:p>
      <w:pPr>
        <w:pStyle w:val="style0"/>
        <w:tabs>
          <w:tab w:val="left" w:leader="none" w:pos="9214"/>
          <w:tab w:val="left" w:leader="none" w:pos="9639"/>
        </w:tabs>
        <w:autoSpaceDE w:val="false"/>
        <w:autoSpaceDN w:val="false"/>
        <w:adjustRightInd w:val="false"/>
        <w:jc w:val="both"/>
        <w:rPr>
          <w:rFonts w:ascii="Century Gothic" w:hAnsi="Century Gothic"/>
          <w:b/>
          <w:i/>
          <w:u w:val="single"/>
        </w:rPr>
      </w:pPr>
      <w:r>
        <w:rPr>
          <w:rFonts w:ascii="Century Gothic" w:hAnsi="Century Gothic"/>
          <w:b/>
          <w:i/>
          <w:u w:val="single"/>
        </w:rPr>
        <w:t>Les contraintes d’ordre institutionnel, politique et stratégique.</w:t>
      </w:r>
    </w:p>
    <w:p>
      <w:pPr>
        <w:pStyle w:val="style0"/>
        <w:tabs>
          <w:tab w:val="left" w:leader="none" w:pos="9214"/>
          <w:tab w:val="left" w:leader="none" w:pos="9639"/>
        </w:tabs>
        <w:autoSpaceDE w:val="false"/>
        <w:autoSpaceDN w:val="false"/>
        <w:adjustRightInd w:val="false"/>
        <w:jc w:val="both"/>
        <w:rPr>
          <w:rFonts w:ascii="Century Gothic" w:hAnsi="Century Gothic"/>
        </w:rPr>
      </w:pPr>
    </w:p>
    <w:p>
      <w:pPr>
        <w:pStyle w:val="style0"/>
        <w:tabs>
          <w:tab w:val="left" w:leader="none" w:pos="9214"/>
          <w:tab w:val="left" w:leader="none" w:pos="9639"/>
        </w:tabs>
        <w:autoSpaceDE w:val="false"/>
        <w:autoSpaceDN w:val="false"/>
        <w:adjustRightInd w:val="false"/>
        <w:jc w:val="both"/>
        <w:rPr>
          <w:rFonts w:ascii="Century Gothic" w:hAnsi="Century Gothic"/>
        </w:rPr>
      </w:pPr>
      <w:r>
        <w:rPr>
          <w:rFonts w:ascii="Century Gothic" w:hAnsi="Century Gothic"/>
        </w:rPr>
        <w:t>La faible prise en compte des problématiques environnementales majeures comme la séquestration du carbone, la REDD+ est une réalité au niveau de la commune. L’essentiel de la planification locale étant focalisé sur les investissements socio-économiques. A cela il faut</w:t>
      </w:r>
      <w:r>
        <w:rPr>
          <w:rFonts w:ascii="Century Gothic" w:hAnsi="Century Gothic"/>
        </w:rPr>
        <w:t xml:space="preserve"> noter</w:t>
      </w:r>
      <w:r>
        <w:rPr>
          <w:rFonts w:ascii="Century Gothic" w:hAnsi="Century Gothic"/>
        </w:rPr>
        <w:t xml:space="preserve"> l’inexistence d’un service foncier au niveau de la mairie. Ce qui ne facilite pas la planification et le suivi des questions foncières. Enfin, la faiblesse des capacités techniques et financières de la Commune en matière de planification et de mise en œuvre des projets REDD+. </w:t>
      </w:r>
    </w:p>
    <w:p>
      <w:pPr>
        <w:pStyle w:val="style0"/>
        <w:tabs>
          <w:tab w:val="left" w:leader="none" w:pos="9214"/>
          <w:tab w:val="left" w:leader="none" w:pos="9639"/>
        </w:tabs>
        <w:autoSpaceDE w:val="false"/>
        <w:autoSpaceDN w:val="false"/>
        <w:adjustRightInd w:val="false"/>
        <w:jc w:val="both"/>
        <w:rPr>
          <w:rFonts w:ascii="Century Gothic" w:hAnsi="Century Gothic"/>
        </w:rPr>
      </w:pPr>
    </w:p>
    <w:p>
      <w:pPr>
        <w:pStyle w:val="style0"/>
        <w:tabs>
          <w:tab w:val="left" w:leader="none" w:pos="9214"/>
          <w:tab w:val="left" w:leader="none" w:pos="9639"/>
        </w:tabs>
        <w:autoSpaceDE w:val="false"/>
        <w:autoSpaceDN w:val="false"/>
        <w:adjustRightInd w:val="false"/>
        <w:jc w:val="both"/>
        <w:rPr>
          <w:rFonts w:ascii="Century Gothic" w:hAnsi="Century Gothic"/>
        </w:rPr>
      </w:pPr>
      <w:r>
        <w:rPr>
          <w:rFonts w:ascii="Century Gothic" w:hAnsi="Century Gothic"/>
        </w:rPr>
        <w:t>C’est sur la base de ces différentes contraintes et dans la perspective de pallier à cette dégradation des ressources naturelles que l’association Ga Mo Wigna apporte sa contribution, en appui aux efforts de l’Etat, de la collectivité territoriale de Zecco et des partenaires au développement, à travers l’élaboration et l’appui à la mise en œuvre d</w:t>
      </w:r>
      <w:r>
        <w:rPr>
          <w:rFonts w:ascii="Century Gothic" w:hAnsi="Century Gothic"/>
        </w:rPr>
        <w:t>u</w:t>
      </w:r>
      <w:r>
        <w:rPr>
          <w:rFonts w:ascii="Century Gothic" w:hAnsi="Century Gothic"/>
        </w:rPr>
        <w:t xml:space="preserve"> PDIC/REDD+.</w:t>
      </w:r>
    </w:p>
    <w:p>
      <w:pPr>
        <w:pStyle w:val="style0"/>
        <w:tabs>
          <w:tab w:val="left" w:leader="none" w:pos="9214"/>
          <w:tab w:val="left" w:leader="none" w:pos="9639"/>
        </w:tabs>
        <w:autoSpaceDE w:val="false"/>
        <w:autoSpaceDN w:val="false"/>
        <w:adjustRightInd w:val="false"/>
        <w:jc w:val="both"/>
        <w:rPr>
          <w:rFonts w:ascii="Century Gothic" w:eastAsia="Calibri" w:hAnsi="Century Gothic"/>
          <w:lang w:eastAsia="en-US"/>
        </w:rPr>
      </w:pPr>
    </w:p>
    <w:bookmarkStart w:id="15" w:name="_Toc82049042"/>
    <w:p>
      <w:pPr>
        <w:pStyle w:val="style2"/>
        <w:numPr>
          <w:ilvl w:val="0"/>
          <w:numId w:val="0"/>
        </w:numPr>
        <w:tabs>
          <w:tab w:val="left" w:leader="none" w:pos="9214"/>
          <w:tab w:val="left" w:leader="none" w:pos="9639"/>
        </w:tabs>
        <w:jc w:val="both"/>
        <w:rPr>
          <w:rFonts w:ascii="Century Gothic" w:hAnsi="Century Gothic"/>
          <w:szCs w:val="24"/>
        </w:rPr>
      </w:pPr>
      <w:r>
        <w:rPr>
          <w:rFonts w:ascii="Century Gothic" w:hAnsi="Century Gothic"/>
          <w:szCs w:val="24"/>
        </w:rPr>
        <w:t>3</w:t>
      </w:r>
      <w:r>
        <w:rPr>
          <w:rFonts w:ascii="Century Gothic" w:hAnsi="Century Gothic"/>
          <w:szCs w:val="24"/>
        </w:rPr>
        <w:t>.2  Description globale du PDIC / REDD +</w:t>
      </w:r>
      <w:bookmarkEnd w:id="15"/>
    </w:p>
    <w:p>
      <w:pPr>
        <w:pStyle w:val="style0"/>
        <w:tabs>
          <w:tab w:val="left" w:leader="none" w:pos="9214"/>
          <w:tab w:val="left" w:leader="none" w:pos="9639"/>
        </w:tabs>
        <w:jc w:val="both"/>
        <w:rPr>
          <w:rFonts w:ascii="Century Gothic" w:hAnsi="Century Gothic"/>
          <w:b/>
          <w:u w:val="single"/>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L’objectif global du PDIC/REDD+ de </w:t>
      </w:r>
      <w:r>
        <w:rPr>
          <w:rFonts w:ascii="Century Gothic" w:hAnsi="Century Gothic"/>
        </w:rPr>
        <w:t>Zecco</w:t>
      </w:r>
      <w:r>
        <w:rPr>
          <w:rFonts w:ascii="Century Gothic" w:hAnsi="Century Gothic"/>
        </w:rPr>
        <w:t xml:space="preserve"> est de </w:t>
      </w:r>
      <w:r>
        <w:rPr>
          <w:rFonts w:ascii="Century Gothic" w:hAnsi="Century Gothic"/>
        </w:rPr>
        <w:t>contribuer à la séquestration du carbone et à la réduction de la pauvreté</w:t>
      </w:r>
      <w:r>
        <w:rPr>
          <w:rFonts w:ascii="Century Gothic" w:cs="Calibri" w:hAnsi="Century Gothic"/>
          <w:color w:val="000000"/>
        </w:rPr>
        <w:t xml:space="preserve"> dans la commune de Zecco</w:t>
      </w:r>
      <w:r>
        <w:rPr>
          <w:rFonts w:ascii="Century Gothic" w:hAnsi="Century Gothic"/>
        </w:rPr>
        <w:t>.</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De façon spécifique, le PDIC/REDD+ de la </w:t>
      </w:r>
      <w:r>
        <w:rPr>
          <w:rFonts w:ascii="Century Gothic" w:hAnsi="Century Gothic"/>
        </w:rPr>
        <w:t xml:space="preserve">commune de Zecco </w:t>
      </w:r>
      <w:r>
        <w:rPr>
          <w:rFonts w:ascii="Century Gothic" w:hAnsi="Century Gothic"/>
        </w:rPr>
        <w:t>vise à :</w:t>
      </w:r>
    </w:p>
    <w:p>
      <w:pPr>
        <w:pStyle w:val="style0"/>
        <w:tabs>
          <w:tab w:val="left" w:leader="none" w:pos="9214"/>
          <w:tab w:val="left" w:leader="none" w:pos="9639"/>
        </w:tabs>
        <w:jc w:val="both"/>
        <w:rPr>
          <w:rFonts w:ascii="Century Gothic" w:hAnsi="Century Gothic"/>
        </w:rPr>
      </w:pPr>
    </w:p>
    <w:p>
      <w:pPr>
        <w:pStyle w:val="style179"/>
        <w:numPr>
          <w:ilvl w:val="0"/>
          <w:numId w:val="5"/>
        </w:numPr>
        <w:ind w:left="360"/>
        <w:rPr>
          <w:rFonts w:ascii="Century Gothic" w:hAnsi="Century Gothic"/>
        </w:rPr>
      </w:pPr>
      <w:r>
        <w:rPr>
          <w:rFonts w:ascii="Century Gothic" w:hAnsi="Century Gothic"/>
        </w:rPr>
        <w:t xml:space="preserve">Renforcer les initiatives d’aménagement </w:t>
      </w:r>
      <w:r>
        <w:rPr>
          <w:rFonts w:ascii="Century Gothic" w:hAnsi="Century Gothic"/>
        </w:rPr>
        <w:t>et de restauration de</w:t>
      </w:r>
      <w:r>
        <w:rPr>
          <w:rFonts w:ascii="Century Gothic" w:hAnsi="Century Gothic"/>
        </w:rPr>
        <w:t>s</w:t>
      </w:r>
      <w:r>
        <w:rPr>
          <w:rFonts w:ascii="Century Gothic" w:hAnsi="Century Gothic"/>
        </w:rPr>
        <w:t xml:space="preserve"> forêt</w:t>
      </w:r>
      <w:r>
        <w:rPr>
          <w:rFonts w:ascii="Century Gothic" w:hAnsi="Century Gothic"/>
        </w:rPr>
        <w:t>s</w:t>
      </w:r>
      <w:r>
        <w:rPr>
          <w:rFonts w:ascii="Century Gothic" w:hAnsi="Century Gothic"/>
        </w:rPr>
        <w:t xml:space="preserve"> villageoise</w:t>
      </w:r>
      <w:r>
        <w:rPr>
          <w:rFonts w:ascii="Century Gothic" w:hAnsi="Century Gothic"/>
        </w:rPr>
        <w:t xml:space="preserve">s </w:t>
      </w:r>
      <w:r>
        <w:rPr>
          <w:rFonts w:ascii="Century Gothic" w:hAnsi="Century Gothic"/>
          <w:spacing w:val="-1"/>
        </w:rPr>
        <w:t xml:space="preserve"> </w:t>
      </w:r>
      <w:r>
        <w:rPr>
          <w:rFonts w:ascii="Century Gothic" w:hAnsi="Century Gothic"/>
          <w:spacing w:val="1"/>
        </w:rPr>
        <w:t>de Gonré, Zecco et Baré</w:t>
      </w:r>
      <w:r>
        <w:rPr>
          <w:rFonts w:ascii="Century Gothic" w:hAnsi="Century Gothic"/>
        </w:rPr>
        <w:t>;</w:t>
      </w:r>
    </w:p>
    <w:p>
      <w:pPr>
        <w:pStyle w:val="style179"/>
        <w:widowControl w:val="false"/>
        <w:tabs>
          <w:tab w:val="left" w:leader="none" w:pos="9214"/>
          <w:tab w:val="left" w:leader="none" w:pos="9639"/>
        </w:tabs>
        <w:autoSpaceDE w:val="false"/>
        <w:autoSpaceDN w:val="false"/>
        <w:adjustRightInd w:val="false"/>
        <w:ind w:left="0"/>
        <w:jc w:val="both"/>
        <w:rPr>
          <w:rFonts w:ascii="Century Gothic" w:hAnsi="Century Gothic"/>
        </w:rPr>
      </w:pPr>
    </w:p>
    <w:p>
      <w:pPr>
        <w:pStyle w:val="style179"/>
        <w:numPr>
          <w:ilvl w:val="0"/>
          <w:numId w:val="5"/>
        </w:numPr>
        <w:tabs>
          <w:tab w:val="left" w:leader="none" w:pos="9214"/>
          <w:tab w:val="left" w:leader="none" w:pos="9639"/>
        </w:tabs>
        <w:ind w:left="360"/>
        <w:jc w:val="both"/>
        <w:rPr>
          <w:rFonts w:ascii="Century Gothic" w:hAnsi="Century Gothic"/>
        </w:rPr>
      </w:pPr>
      <w:r>
        <w:rPr>
          <w:rFonts w:ascii="Century Gothic" w:hAnsi="Century Gothic"/>
        </w:rPr>
        <w:t xml:space="preserve">Améliorer les productivités agropastorales et les revenus des populations dans les </w:t>
      </w:r>
      <w:r>
        <w:rPr>
          <w:rFonts w:ascii="Century Gothic" w:hAnsi="Century Gothic"/>
        </w:rPr>
        <w:t xml:space="preserve">espaces de conservation </w:t>
      </w:r>
      <w:r>
        <w:rPr>
          <w:rFonts w:ascii="Century Gothic" w:hAnsi="Century Gothic"/>
        </w:rPr>
        <w:t>de</w:t>
      </w:r>
      <w:r>
        <w:rPr>
          <w:rFonts w:ascii="Century Gothic" w:hAnsi="Century Gothic"/>
        </w:rPr>
        <w:t xml:space="preserve"> </w:t>
      </w:r>
      <w:r>
        <w:rPr>
          <w:rFonts w:ascii="Century Gothic" w:hAnsi="Century Gothic"/>
          <w:spacing w:val="-1"/>
        </w:rPr>
        <w:t>Zenko-Yarsé, Gonré et Baré</w:t>
      </w:r>
      <w:r>
        <w:rPr>
          <w:rFonts w:ascii="Century Gothic" w:hAnsi="Century Gothic"/>
        </w:rPr>
        <w:t> ;</w:t>
      </w:r>
    </w:p>
    <w:p>
      <w:pPr>
        <w:pStyle w:val="style0"/>
        <w:widowControl w:val="false"/>
        <w:tabs>
          <w:tab w:val="left" w:leader="none" w:pos="9214"/>
          <w:tab w:val="left" w:leader="none" w:pos="9639"/>
        </w:tabs>
        <w:autoSpaceDE w:val="false"/>
        <w:autoSpaceDN w:val="false"/>
        <w:adjustRightInd w:val="false"/>
        <w:jc w:val="both"/>
        <w:rPr>
          <w:rFonts w:ascii="Century Gothic" w:hAnsi="Century Gothic"/>
        </w:rPr>
      </w:pPr>
    </w:p>
    <w:p>
      <w:pPr>
        <w:pStyle w:val="style179"/>
        <w:numPr>
          <w:ilvl w:val="0"/>
          <w:numId w:val="5"/>
        </w:numPr>
        <w:tabs>
          <w:tab w:val="left" w:leader="none" w:pos="9214"/>
          <w:tab w:val="left" w:leader="none" w:pos="9639"/>
        </w:tabs>
        <w:ind w:left="360"/>
        <w:jc w:val="both"/>
        <w:rPr>
          <w:rFonts w:ascii="Century Gothic" w:hAnsi="Century Gothic"/>
        </w:rPr>
      </w:pPr>
      <w:r>
        <w:rPr>
          <w:rFonts w:ascii="Century Gothic" w:hAnsi="Century Gothic"/>
        </w:rPr>
        <w:t>Assurer une gestion efficiente des ressources financières, une capitalisation et une large diffusion des résultats du PDIC/REDD+</w:t>
      </w:r>
      <w:r>
        <w:rPr>
          <w:rFonts w:ascii="Century Gothic" w:hAnsi="Century Gothic"/>
        </w:rPr>
        <w:t xml:space="preserve"> de </w:t>
      </w:r>
      <w:r>
        <w:rPr>
          <w:rFonts w:ascii="Century Gothic" w:hAnsi="Century Gothic"/>
        </w:rPr>
        <w:t>Zecco</w:t>
      </w:r>
      <w:r>
        <w:rPr>
          <w:rFonts w:ascii="Century Gothic" w:hAnsi="Century Gothic"/>
        </w:rPr>
        <w:t>.</w:t>
      </w:r>
    </w:p>
    <w:p>
      <w:pPr>
        <w:pStyle w:val="style0"/>
        <w:tabs>
          <w:tab w:val="left" w:leader="none" w:pos="9214"/>
          <w:tab w:val="left" w:leader="none" w:pos="9639"/>
        </w:tabs>
        <w:jc w:val="both"/>
        <w:rPr>
          <w:rFonts w:ascii="Century Gothic" w:hAnsi="Century Gothic"/>
          <w:b/>
          <w:color w:val="ff0000"/>
        </w:rPr>
      </w:pPr>
    </w:p>
    <w:p>
      <w:pPr>
        <w:pStyle w:val="style0"/>
        <w:tabs>
          <w:tab w:val="left" w:leader="none" w:pos="9214"/>
          <w:tab w:val="left" w:leader="none" w:pos="9639"/>
        </w:tabs>
        <w:jc w:val="both"/>
        <w:rPr>
          <w:rFonts w:ascii="Century Gothic" w:hAnsi="Century Gothic"/>
          <w:b/>
          <w:color w:val="ff0000"/>
        </w:rPr>
      </w:pPr>
    </w:p>
    <w:p>
      <w:pPr>
        <w:pStyle w:val="style0"/>
        <w:tabs>
          <w:tab w:val="left" w:leader="none" w:pos="9214"/>
          <w:tab w:val="left" w:leader="none" w:pos="9639"/>
        </w:tabs>
        <w:jc w:val="both"/>
        <w:rPr>
          <w:rFonts w:ascii="Century Gothic" w:hAnsi="Century Gothic"/>
          <w:b/>
        </w:rPr>
      </w:pPr>
      <w:r>
        <w:rPr>
          <w:rFonts w:ascii="Century Gothic" w:hAnsi="Century Gothic"/>
          <w:b/>
        </w:rPr>
        <w:t>Les résultats attendus sont :</w:t>
      </w:r>
    </w:p>
    <w:p>
      <w:pPr>
        <w:pStyle w:val="style0"/>
        <w:tabs>
          <w:tab w:val="left" w:leader="none" w:pos="9214"/>
          <w:tab w:val="left" w:leader="none" w:pos="9639"/>
        </w:tabs>
        <w:jc w:val="both"/>
        <w:rPr>
          <w:rFonts w:ascii="Century Gothic" w:hAnsi="Century Gothic"/>
          <w:b/>
        </w:rPr>
      </w:pPr>
    </w:p>
    <w:p>
      <w:pPr>
        <w:pStyle w:val="style179"/>
        <w:numPr>
          <w:ilvl w:val="0"/>
          <w:numId w:val="2"/>
        </w:numPr>
        <w:tabs>
          <w:tab w:val="left" w:leader="none" w:pos="9214"/>
          <w:tab w:val="left" w:leader="none" w:pos="9639"/>
        </w:tabs>
        <w:ind w:left="360"/>
        <w:jc w:val="both"/>
        <w:rPr>
          <w:rFonts w:ascii="Century Gothic" w:hAnsi="Century Gothic"/>
        </w:rPr>
      </w:pPr>
      <w:r>
        <w:rPr>
          <w:rFonts w:ascii="Century Gothic" w:hAnsi="Century Gothic"/>
        </w:rPr>
        <w:t xml:space="preserve">Au moins </w:t>
      </w:r>
      <w:r>
        <w:rPr>
          <w:rFonts w:ascii="Century Gothic" w:hAnsi="Century Gothic"/>
        </w:rPr>
        <w:t>571</w:t>
      </w:r>
      <w:r>
        <w:rPr>
          <w:rFonts w:ascii="Century Gothic" w:hAnsi="Century Gothic"/>
        </w:rPr>
        <w:t xml:space="preserve"> hectares</w:t>
      </w:r>
      <w:r>
        <w:rPr>
          <w:rStyle w:val="style38"/>
          <w:rFonts w:ascii="Century Gothic" w:hAnsi="Century Gothic"/>
        </w:rPr>
        <w:footnoteReference w:id="2"/>
      </w:r>
      <w:r>
        <w:rPr>
          <w:rFonts w:ascii="Century Gothic" w:hAnsi="Century Gothic"/>
        </w:rPr>
        <w:t xml:space="preserve"> de terres communales dont </w:t>
      </w:r>
      <w:r>
        <w:rPr>
          <w:rFonts w:ascii="Century Gothic" w:hAnsi="Century Gothic"/>
        </w:rPr>
        <w:t xml:space="preserve">64,08 </w:t>
      </w:r>
      <w:r>
        <w:rPr>
          <w:rFonts w:ascii="Century Gothic" w:hAnsi="Century Gothic"/>
        </w:rPr>
        <w:t xml:space="preserve">hectares </w:t>
      </w:r>
      <w:r>
        <w:rPr>
          <w:rFonts w:ascii="Century Gothic" w:hAnsi="Century Gothic"/>
        </w:rPr>
        <w:t xml:space="preserve">de forêts </w:t>
      </w:r>
      <w:r>
        <w:rPr>
          <w:rFonts w:ascii="Century Gothic" w:hAnsi="Century Gothic"/>
        </w:rPr>
        <w:t xml:space="preserve">sont aménagés et sécurisés d’ici </w:t>
      </w:r>
      <w:r>
        <w:rPr>
          <w:rFonts w:ascii="Century Gothic" w:hAnsi="Century Gothic"/>
        </w:rPr>
        <w:t>Décembre 20</w:t>
      </w:r>
      <w:r>
        <w:rPr>
          <w:rFonts w:ascii="Century Gothic" w:hAnsi="Century Gothic"/>
        </w:rPr>
        <w:t>26 ;</w:t>
      </w:r>
    </w:p>
    <w:p>
      <w:pPr>
        <w:pStyle w:val="style179"/>
        <w:tabs>
          <w:tab w:val="left" w:leader="none" w:pos="9214"/>
          <w:tab w:val="left" w:leader="none" w:pos="9639"/>
        </w:tabs>
        <w:ind w:left="360"/>
        <w:jc w:val="both"/>
        <w:rPr>
          <w:rFonts w:ascii="Century Gothic" w:hAnsi="Century Gothic"/>
        </w:rPr>
      </w:pPr>
    </w:p>
    <w:p>
      <w:pPr>
        <w:pStyle w:val="style179"/>
        <w:numPr>
          <w:ilvl w:val="0"/>
          <w:numId w:val="2"/>
        </w:numPr>
        <w:tabs>
          <w:tab w:val="left" w:leader="none" w:pos="9214"/>
          <w:tab w:val="left" w:leader="none" w:pos="9639"/>
        </w:tabs>
        <w:ind w:left="360"/>
        <w:jc w:val="both"/>
        <w:rPr>
          <w:rFonts w:ascii="Century Gothic" w:hAnsi="Century Gothic"/>
        </w:rPr>
      </w:pPr>
      <w:r>
        <w:rPr>
          <w:rFonts w:ascii="Century Gothic" w:hAnsi="Century Gothic"/>
        </w:rPr>
        <w:t xml:space="preserve">Au moins </w:t>
      </w:r>
      <w:r>
        <w:rPr>
          <w:rFonts w:ascii="Century Gothic" w:hAnsi="Century Gothic"/>
        </w:rPr>
        <w:t>2004</w:t>
      </w:r>
      <w:r>
        <w:rPr>
          <w:rFonts w:ascii="Century Gothic" w:hAnsi="Century Gothic"/>
        </w:rPr>
        <w:t xml:space="preserve"> bénéficiaires</w:t>
      </w:r>
      <w:r>
        <w:rPr>
          <w:rStyle w:val="style38"/>
          <w:rFonts w:ascii="Century Gothic" w:hAnsi="Century Gothic"/>
        </w:rPr>
        <w:footnoteReference w:id="3"/>
      </w:r>
      <w:r>
        <w:rPr>
          <w:rFonts w:ascii="Century Gothic" w:hAnsi="Century Gothic"/>
        </w:rPr>
        <w:t xml:space="preserve"> directs</w:t>
      </w:r>
      <w:r>
        <w:rPr>
          <w:rFonts w:ascii="Century Gothic" w:hAnsi="Century Gothic"/>
        </w:rPr>
        <w:t xml:space="preserve"> </w:t>
      </w:r>
      <w:r>
        <w:rPr>
          <w:rFonts w:ascii="Century Gothic" w:hAnsi="Century Gothic"/>
        </w:rPr>
        <w:t xml:space="preserve">dont </w:t>
      </w:r>
      <w:r>
        <w:rPr>
          <w:rFonts w:ascii="Century Gothic" w:hAnsi="Century Gothic"/>
        </w:rPr>
        <w:t>828</w:t>
      </w:r>
      <w:r>
        <w:rPr>
          <w:rFonts w:ascii="Century Gothic" w:hAnsi="Century Gothic"/>
        </w:rPr>
        <w:t xml:space="preserve"> femmes mettent en œuvre des initiatives d’amélioration des productivités agropastorales et des revenus </w:t>
      </w:r>
      <w:r>
        <w:rPr>
          <w:rFonts w:ascii="Century Gothic" w:hAnsi="Century Gothic"/>
        </w:rPr>
        <w:t xml:space="preserve">dans les espaces de conservation de </w:t>
      </w:r>
      <w:r>
        <w:rPr>
          <w:rFonts w:ascii="Century Gothic" w:hAnsi="Century Gothic"/>
          <w:spacing w:val="1"/>
        </w:rPr>
        <w:t>Gonré, Zecco et Baré</w:t>
      </w:r>
      <w:r>
        <w:rPr>
          <w:rFonts w:ascii="Century Gothic" w:hAnsi="Century Gothic"/>
        </w:rPr>
        <w:t xml:space="preserve"> </w:t>
      </w:r>
      <w:r>
        <w:rPr>
          <w:rFonts w:ascii="Century Gothic" w:hAnsi="Century Gothic"/>
        </w:rPr>
        <w:t>entre J</w:t>
      </w:r>
      <w:r>
        <w:rPr>
          <w:rFonts w:ascii="Century Gothic" w:hAnsi="Century Gothic"/>
        </w:rPr>
        <w:t>anvier 2022</w:t>
      </w:r>
      <w:r>
        <w:rPr>
          <w:rFonts w:ascii="Century Gothic" w:hAnsi="Century Gothic"/>
        </w:rPr>
        <w:t xml:space="preserve"> et </w:t>
      </w:r>
      <w:r>
        <w:rPr>
          <w:rFonts w:ascii="Century Gothic" w:hAnsi="Century Gothic"/>
        </w:rPr>
        <w:t>Décembre 2026 ;</w:t>
      </w:r>
    </w:p>
    <w:p>
      <w:pPr>
        <w:pStyle w:val="style0"/>
        <w:tabs>
          <w:tab w:val="left" w:leader="none" w:pos="9214"/>
          <w:tab w:val="left" w:leader="none" w:pos="9639"/>
        </w:tabs>
        <w:ind w:left="360"/>
        <w:jc w:val="both"/>
        <w:rPr>
          <w:rFonts w:ascii="Century Gothic" w:hAnsi="Century Gothic"/>
        </w:rPr>
      </w:pPr>
    </w:p>
    <w:p>
      <w:pPr>
        <w:pStyle w:val="style179"/>
        <w:numPr>
          <w:ilvl w:val="0"/>
          <w:numId w:val="2"/>
        </w:numPr>
        <w:tabs>
          <w:tab w:val="left" w:leader="none" w:pos="9214"/>
          <w:tab w:val="left" w:leader="none" w:pos="9639"/>
        </w:tabs>
        <w:ind w:left="360"/>
        <w:jc w:val="both"/>
        <w:rPr>
          <w:rFonts w:ascii="Century Gothic" w:hAnsi="Century Gothic"/>
        </w:rPr>
      </w:pPr>
      <w:r>
        <w:rPr>
          <w:rFonts w:ascii="Century Gothic" w:hAnsi="Century Gothic"/>
        </w:rPr>
        <w:t xml:space="preserve">Les résultats et enseignements du </w:t>
      </w:r>
      <w:r>
        <w:rPr>
          <w:rFonts w:ascii="Century Gothic" w:hAnsi="Century Gothic"/>
        </w:rPr>
        <w:t xml:space="preserve">PDIC/REDD+ de </w:t>
      </w:r>
      <w:r>
        <w:rPr>
          <w:rFonts w:ascii="Century Gothic" w:hAnsi="Century Gothic"/>
        </w:rPr>
        <w:t>Zecco</w:t>
      </w:r>
      <w:r>
        <w:rPr>
          <w:rFonts w:ascii="Century Gothic" w:hAnsi="Century Gothic"/>
        </w:rPr>
        <w:t xml:space="preserve"> sont capitalisés et largement diffusés entre </w:t>
      </w:r>
      <w:r>
        <w:rPr>
          <w:rFonts w:ascii="Century Gothic" w:hAnsi="Century Gothic"/>
        </w:rPr>
        <w:t>Janvier 2022 et Décembre 2026.</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L’atteinte de ces résultats passe par la réalisation d’un certain nombre d’activités relatives à la :</w:t>
      </w:r>
    </w:p>
    <w:p>
      <w:pPr>
        <w:pStyle w:val="style0"/>
        <w:tabs>
          <w:tab w:val="left" w:leader="none" w:pos="9214"/>
          <w:tab w:val="left" w:leader="none" w:pos="9639"/>
        </w:tabs>
        <w:jc w:val="both"/>
        <w:rPr>
          <w:rFonts w:ascii="Century Gothic" w:hAnsi="Century Gothic"/>
        </w:rPr>
      </w:pPr>
    </w:p>
    <w:p>
      <w:pPr>
        <w:pStyle w:val="style179"/>
        <w:numPr>
          <w:ilvl w:val="0"/>
          <w:numId w:val="3"/>
        </w:numPr>
        <w:tabs>
          <w:tab w:val="left" w:leader="none" w:pos="9214"/>
          <w:tab w:val="left" w:leader="none" w:pos="9639"/>
        </w:tabs>
        <w:ind w:left="360"/>
        <w:jc w:val="both"/>
        <w:rPr>
          <w:rFonts w:ascii="Century Gothic" w:hAnsi="Century Gothic"/>
        </w:rPr>
      </w:pPr>
      <w:r>
        <w:rPr>
          <w:rFonts w:ascii="Century Gothic" w:hAnsi="Century Gothic"/>
          <w:i/>
          <w:u w:val="single"/>
        </w:rPr>
        <w:t>L’amélioration du potentiel de séquestration</w:t>
      </w:r>
      <w:r>
        <w:rPr>
          <w:rFonts w:ascii="Century Gothic" w:hAnsi="Century Gothic"/>
          <w:i/>
          <w:u w:val="single"/>
        </w:rPr>
        <w:t xml:space="preserve"> </w:t>
      </w:r>
      <w:r>
        <w:rPr>
          <w:rFonts w:ascii="Century Gothic" w:hAnsi="Century Gothic"/>
          <w:i/>
          <w:u w:val="single"/>
        </w:rPr>
        <w:t>du</w:t>
      </w:r>
      <w:r>
        <w:rPr>
          <w:rFonts w:ascii="Century Gothic" w:hAnsi="Century Gothic"/>
          <w:i/>
          <w:u w:val="single"/>
        </w:rPr>
        <w:t xml:space="preserve"> </w:t>
      </w:r>
      <w:r>
        <w:rPr>
          <w:rFonts w:ascii="Century Gothic" w:hAnsi="Century Gothic"/>
          <w:i/>
          <w:u w:val="single"/>
        </w:rPr>
        <w:t>carbone</w:t>
      </w:r>
      <w:r>
        <w:rPr>
          <w:rFonts w:ascii="Century Gothic" w:hAnsi="Century Gothic"/>
          <w:i/>
          <w:u w:val="single"/>
        </w:rPr>
        <w:t xml:space="preserve"> </w:t>
      </w:r>
      <w:r>
        <w:rPr>
          <w:rFonts w:ascii="Century Gothic" w:hAnsi="Century Gothic"/>
        </w:rPr>
        <w:t xml:space="preserve">de la Commune à travers des activités </w:t>
      </w:r>
      <w:r>
        <w:rPr>
          <w:rFonts w:ascii="Century Gothic" w:hAnsi="Century Gothic"/>
          <w:b/>
        </w:rPr>
        <w:t>d’aménagement</w:t>
      </w:r>
      <w:r>
        <w:rPr>
          <w:rFonts w:ascii="Century Gothic" w:hAnsi="Century Gothic"/>
        </w:rPr>
        <w:t xml:space="preserve"> (délimitation, matérialisation des limites, renforcement du couvert végétal, etc.) et de </w:t>
      </w:r>
      <w:r>
        <w:rPr>
          <w:rFonts w:ascii="Century Gothic" w:hAnsi="Century Gothic"/>
          <w:b/>
        </w:rPr>
        <w:t>gestion</w:t>
      </w:r>
      <w:r>
        <w:rPr>
          <w:rFonts w:ascii="Century Gothic" w:hAnsi="Century Gothic"/>
        </w:rPr>
        <w:t xml:space="preserve"> (mise en place</w:t>
      </w:r>
      <w:r>
        <w:rPr>
          <w:rFonts w:ascii="Century Gothic" w:hAnsi="Century Gothic"/>
        </w:rPr>
        <w:t xml:space="preserve"> </w:t>
      </w:r>
      <w:r>
        <w:rPr>
          <w:rFonts w:ascii="Century Gothic" w:hAnsi="Century Gothic"/>
        </w:rPr>
        <w:t>de</w:t>
      </w:r>
      <w:r>
        <w:rPr>
          <w:rFonts w:ascii="Century Gothic" w:hAnsi="Century Gothic"/>
        </w:rPr>
        <w:t xml:space="preserve"> comités de gestion</w:t>
      </w:r>
      <w:r>
        <w:rPr>
          <w:rFonts w:ascii="Century Gothic" w:hAnsi="Century Gothic"/>
        </w:rPr>
        <w:t>, élaboration de chartes foncières</w:t>
      </w:r>
      <w:r>
        <w:rPr>
          <w:rFonts w:ascii="Century Gothic" w:hAnsi="Century Gothic"/>
        </w:rPr>
        <w:t xml:space="preserve">) </w:t>
      </w:r>
      <w:r>
        <w:rPr>
          <w:rFonts w:ascii="Century Gothic" w:hAnsi="Century Gothic"/>
        </w:rPr>
        <w:t>des forêts villageoises de</w:t>
      </w:r>
      <w:r>
        <w:rPr>
          <w:rFonts w:ascii="Century Gothic" w:hAnsi="Century Gothic"/>
          <w:spacing w:val="-1"/>
        </w:rPr>
        <w:t xml:space="preserve"> </w:t>
      </w:r>
      <w:r>
        <w:rPr>
          <w:rFonts w:ascii="Century Gothic" w:hAnsi="Century Gothic"/>
          <w:spacing w:val="1"/>
        </w:rPr>
        <w:t>Gonré, Zecco et Baré</w:t>
      </w:r>
      <w:r>
        <w:rPr>
          <w:rFonts w:ascii="Century Gothic" w:hAnsi="Century Gothic"/>
        </w:rPr>
        <w:t> ;</w:t>
      </w:r>
    </w:p>
    <w:p>
      <w:pPr>
        <w:pStyle w:val="style179"/>
        <w:tabs>
          <w:tab w:val="left" w:leader="none" w:pos="9214"/>
          <w:tab w:val="left" w:leader="none" w:pos="9639"/>
        </w:tabs>
        <w:ind w:left="0"/>
        <w:jc w:val="both"/>
        <w:rPr>
          <w:rFonts w:ascii="Century Gothic" w:hAnsi="Century Gothic"/>
        </w:rPr>
      </w:pPr>
    </w:p>
    <w:p>
      <w:pPr>
        <w:pStyle w:val="style179"/>
        <w:numPr>
          <w:ilvl w:val="0"/>
          <w:numId w:val="3"/>
        </w:numPr>
        <w:tabs>
          <w:tab w:val="left" w:leader="none" w:pos="9214"/>
          <w:tab w:val="left" w:leader="none" w:pos="9639"/>
        </w:tabs>
        <w:ind w:left="360"/>
        <w:jc w:val="both"/>
        <w:rPr>
          <w:rFonts w:ascii="Century Gothic" w:hAnsi="Century Gothic"/>
        </w:rPr>
      </w:pPr>
      <w:r>
        <w:rPr>
          <w:rFonts w:ascii="Century Gothic" w:hAnsi="Century Gothic"/>
          <w:i/>
          <w:u w:val="single"/>
        </w:rPr>
        <w:t>Le développement d’initiatives d’atténuation des pressions</w:t>
      </w:r>
      <w:r>
        <w:rPr>
          <w:rFonts w:ascii="Century Gothic" w:hAnsi="Century Gothic"/>
        </w:rPr>
        <w:t xml:space="preserve"> sur</w:t>
      </w:r>
      <w:r>
        <w:rPr>
          <w:rFonts w:ascii="Century Gothic" w:hAnsi="Century Gothic"/>
        </w:rPr>
        <w:t xml:space="preserve"> </w:t>
      </w:r>
      <w:r>
        <w:rPr>
          <w:rFonts w:ascii="Century Gothic" w:hAnsi="Century Gothic"/>
        </w:rPr>
        <w:t xml:space="preserve">les espaces de conservation de </w:t>
      </w:r>
      <w:r>
        <w:rPr>
          <w:rFonts w:ascii="Century Gothic" w:hAnsi="Century Gothic"/>
          <w:spacing w:val="-1"/>
        </w:rPr>
        <w:t>Gonré</w:t>
      </w:r>
      <w:r>
        <w:rPr>
          <w:rFonts w:ascii="Century Gothic" w:hAnsi="Century Gothic"/>
          <w:spacing w:val="-1"/>
        </w:rPr>
        <w:t xml:space="preserve">, </w:t>
      </w:r>
      <w:r>
        <w:rPr>
          <w:rFonts w:ascii="Century Gothic" w:hAnsi="Century Gothic"/>
          <w:spacing w:val="1"/>
        </w:rPr>
        <w:t>Zecco et Baré</w:t>
      </w:r>
      <w:r>
        <w:rPr>
          <w:rFonts w:ascii="Century Gothic" w:hAnsi="Century Gothic"/>
        </w:rPr>
        <w:t> </w:t>
      </w:r>
      <w:r>
        <w:rPr>
          <w:rFonts w:ascii="Century Gothic" w:hAnsi="Century Gothic"/>
          <w:spacing w:val="-1"/>
        </w:rPr>
        <w:t xml:space="preserve"> </w:t>
      </w:r>
      <w:r>
        <w:rPr>
          <w:rFonts w:ascii="Century Gothic" w:hAnsi="Century Gothic"/>
        </w:rPr>
        <w:t xml:space="preserve">à travers des activités </w:t>
      </w:r>
      <w:r>
        <w:rPr>
          <w:rFonts w:ascii="Century Gothic" w:hAnsi="Century Gothic"/>
          <w:b/>
        </w:rPr>
        <w:t>d’amélioration</w:t>
      </w:r>
      <w:r>
        <w:rPr>
          <w:rFonts w:ascii="Century Gothic" w:hAnsi="Century Gothic"/>
        </w:rPr>
        <w:t xml:space="preserve"> des productivités agricoles (</w:t>
      </w:r>
      <w:r>
        <w:rPr>
          <w:rFonts w:ascii="Century Gothic" w:hAnsi="Century Gothic"/>
        </w:rPr>
        <w:t>production et uti</w:t>
      </w:r>
      <w:r>
        <w:rPr>
          <w:rFonts w:ascii="Century Gothic" w:hAnsi="Century Gothic"/>
        </w:rPr>
        <w:t>lisation de la fumure organique</w:t>
      </w:r>
      <w:r>
        <w:rPr>
          <w:rFonts w:ascii="Century Gothic" w:hAnsi="Century Gothic"/>
        </w:rPr>
        <w:t xml:space="preserve">), pastorales (production du fourrage) et sylvicoles (plantations) et de </w:t>
      </w:r>
      <w:r>
        <w:rPr>
          <w:rFonts w:ascii="Century Gothic" w:hAnsi="Century Gothic"/>
          <w:b/>
        </w:rPr>
        <w:t xml:space="preserve">valorisation </w:t>
      </w:r>
      <w:r>
        <w:rPr>
          <w:rFonts w:ascii="Century Gothic" w:hAnsi="Century Gothic"/>
        </w:rPr>
        <w:t>des ress</w:t>
      </w:r>
      <w:r>
        <w:rPr>
          <w:rFonts w:ascii="Century Gothic" w:hAnsi="Century Gothic"/>
        </w:rPr>
        <w:t>ources forestières (apiculture</w:t>
      </w:r>
      <w:r>
        <w:rPr>
          <w:rFonts w:ascii="Century Gothic" w:hAnsi="Century Gothic"/>
        </w:rPr>
        <w:t>).</w:t>
      </w:r>
    </w:p>
    <w:p>
      <w:pPr>
        <w:pStyle w:val="style0"/>
        <w:tabs>
          <w:tab w:val="left" w:leader="none" w:pos="9214"/>
          <w:tab w:val="left" w:leader="none" w:pos="9639"/>
        </w:tabs>
        <w:jc w:val="both"/>
        <w:rPr>
          <w:rFonts w:ascii="Century Gothic" w:hAnsi="Century Gothic"/>
        </w:rPr>
      </w:pPr>
    </w:p>
    <w:p>
      <w:pPr>
        <w:pStyle w:val="style179"/>
        <w:numPr>
          <w:ilvl w:val="0"/>
          <w:numId w:val="3"/>
        </w:numPr>
        <w:tabs>
          <w:tab w:val="left" w:leader="none" w:pos="9214"/>
          <w:tab w:val="left" w:leader="none" w:pos="9639"/>
        </w:tabs>
        <w:ind w:left="360"/>
        <w:jc w:val="both"/>
        <w:rPr>
          <w:rFonts w:ascii="Century Gothic" w:hAnsi="Century Gothic"/>
        </w:rPr>
      </w:pPr>
      <w:r>
        <w:rPr>
          <w:rFonts w:ascii="Century Gothic" w:hAnsi="Century Gothic"/>
          <w:i/>
          <w:u w:val="single"/>
        </w:rPr>
        <w:t>L’habilitation des communautés et des institutions locales</w:t>
      </w:r>
      <w:r>
        <w:rPr>
          <w:rFonts w:ascii="Century Gothic" w:hAnsi="Century Gothic"/>
        </w:rPr>
        <w:t xml:space="preserve"> à la gestion durable des investissements à travers des activités de </w:t>
      </w:r>
      <w:r>
        <w:rPr>
          <w:rFonts w:ascii="Century Gothic" w:hAnsi="Century Gothic"/>
          <w:b/>
        </w:rPr>
        <w:t>renforcement des capacités</w:t>
      </w:r>
      <w:r>
        <w:rPr>
          <w:rFonts w:ascii="Century Gothic" w:hAnsi="Century Gothic"/>
        </w:rPr>
        <w:t xml:space="preserve"> des populations (formations, mise en place de comités de gestion</w:t>
      </w:r>
      <w:r>
        <w:rPr>
          <w:rFonts w:ascii="Century Gothic" w:hAnsi="Century Gothic"/>
        </w:rPr>
        <w:t>).</w:t>
      </w:r>
    </w:p>
    <w:p>
      <w:pPr>
        <w:pStyle w:val="style0"/>
        <w:tabs>
          <w:tab w:val="left" w:leader="none" w:pos="9214"/>
          <w:tab w:val="left" w:leader="none" w:pos="9639"/>
        </w:tabs>
        <w:jc w:val="both"/>
        <w:rPr>
          <w:rFonts w:ascii="Century Gothic" w:hAnsi="Century Gothic"/>
        </w:rPr>
      </w:pPr>
    </w:p>
    <w:bookmarkStart w:id="16" w:name="_Toc82049043"/>
    <w:p>
      <w:pPr>
        <w:pStyle w:val="style1"/>
        <w:numPr>
          <w:ilvl w:val="0"/>
          <w:numId w:val="0"/>
        </w:numPr>
        <w:tabs>
          <w:tab w:val="left" w:leader="none" w:pos="9214"/>
          <w:tab w:val="left" w:leader="none" w:pos="9639"/>
        </w:tabs>
        <w:spacing w:before="0" w:after="0"/>
        <w:rPr>
          <w:rFonts w:ascii="Century Gothic" w:hAnsi="Century Gothic"/>
          <w:sz w:val="24"/>
          <w:szCs w:val="24"/>
          <w:u w:val="single"/>
        </w:rPr>
      </w:pPr>
      <w:r>
        <w:rPr>
          <w:rFonts w:ascii="Century Gothic" w:hAnsi="Century Gothic"/>
          <w:sz w:val="24"/>
          <w:szCs w:val="24"/>
          <w:u w:val="single"/>
        </w:rPr>
        <w:t>IV</w:t>
      </w:r>
      <w:r>
        <w:rPr>
          <w:rFonts w:ascii="Century Gothic" w:hAnsi="Century Gothic"/>
          <w:sz w:val="24"/>
          <w:szCs w:val="24"/>
          <w:u w:val="single"/>
        </w:rPr>
        <w:t>. Espaces de conservation de la commune</w:t>
      </w:r>
      <w:bookmarkEnd w:id="16"/>
    </w:p>
    <w:p>
      <w:pPr>
        <w:pStyle w:val="style0"/>
        <w:widowControl w:val="false"/>
        <w:tabs>
          <w:tab w:val="left" w:leader="none" w:pos="9214"/>
          <w:tab w:val="left" w:leader="none" w:pos="9639"/>
        </w:tabs>
        <w:autoSpaceDE w:val="false"/>
        <w:autoSpaceDN w:val="false"/>
        <w:adjustRightInd w:val="false"/>
        <w:ind w:hanging="360"/>
        <w:jc w:val="both"/>
        <w:rPr>
          <w:rFonts w:ascii="Century Gothic" w:hAnsi="Century Gothic"/>
          <w:b/>
          <w:u w:val="single"/>
        </w:rPr>
      </w:pPr>
    </w:p>
    <w:bookmarkStart w:id="17" w:name="_Toc82049044"/>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 xml:space="preserve">.1. </w:t>
      </w:r>
      <w:r>
        <w:rPr>
          <w:rFonts w:ascii="Century Gothic" w:hAnsi="Century Gothic"/>
          <w:szCs w:val="24"/>
        </w:rPr>
        <w:t xml:space="preserve">Espace de conservation de </w:t>
      </w:r>
      <w:r>
        <w:rPr>
          <w:rFonts w:ascii="Century Gothic" w:hAnsi="Century Gothic"/>
          <w:szCs w:val="24"/>
        </w:rPr>
        <w:t>Gonré</w:t>
      </w:r>
      <w:bookmarkEnd w:id="17"/>
    </w:p>
    <w:p>
      <w:pPr>
        <w:pStyle w:val="style0"/>
        <w:tabs>
          <w:tab w:val="left" w:leader="none" w:pos="9214"/>
          <w:tab w:val="left" w:leader="none" w:pos="9639"/>
        </w:tabs>
        <w:rPr>
          <w:rFonts w:ascii="Century Gothic" w:hAnsi="Century Gothic"/>
        </w:rPr>
      </w:pPr>
    </w:p>
    <w:bookmarkStart w:id="18" w:name="_Toc82049045"/>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.1.</w:t>
      </w:r>
      <w:r>
        <w:rPr>
          <w:rFonts w:ascii="Century Gothic" w:hAnsi="Century Gothic"/>
          <w:szCs w:val="24"/>
        </w:rPr>
        <w:t>1.</w:t>
      </w:r>
      <w:r>
        <w:rPr>
          <w:rFonts w:ascii="Century Gothic" w:hAnsi="Century Gothic"/>
          <w:szCs w:val="24"/>
        </w:rPr>
        <w:t xml:space="preserve"> </w:t>
      </w:r>
      <w:r>
        <w:rPr>
          <w:rFonts w:ascii="Century Gothic" w:hAnsi="Century Gothic"/>
          <w:szCs w:val="24"/>
        </w:rPr>
        <w:t>Description de</w:t>
      </w:r>
      <w:r>
        <w:rPr>
          <w:rFonts w:ascii="Century Gothic" w:hAnsi="Century Gothic"/>
          <w:szCs w:val="24"/>
        </w:rPr>
        <w:t xml:space="preserve"> </w:t>
      </w:r>
      <w:r>
        <w:rPr>
          <w:rFonts w:ascii="Century Gothic" w:hAnsi="Century Gothic"/>
          <w:szCs w:val="24"/>
        </w:rPr>
        <w:t xml:space="preserve">la forêt </w:t>
      </w:r>
      <w:r>
        <w:rPr>
          <w:rFonts w:ascii="Century Gothic" w:hAnsi="Century Gothic"/>
          <w:szCs w:val="24"/>
        </w:rPr>
        <w:t xml:space="preserve">villageoise de </w:t>
      </w:r>
      <w:r>
        <w:rPr>
          <w:rFonts w:ascii="Century Gothic" w:hAnsi="Century Gothic"/>
          <w:szCs w:val="24"/>
        </w:rPr>
        <w:t>Gonré</w:t>
      </w:r>
      <w:bookmarkEnd w:id="18"/>
    </w:p>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p>
    <w:p>
      <w:pPr>
        <w:pStyle w:val="style0"/>
        <w:widowControl w:val="false"/>
        <w:tabs>
          <w:tab w:val="left" w:leader="none" w:pos="9214"/>
          <w:tab w:val="left" w:leader="none" w:pos="9639"/>
        </w:tabs>
        <w:autoSpaceDE w:val="false"/>
        <w:autoSpaceDN w:val="false"/>
        <w:adjustRightInd w:val="false"/>
        <w:jc w:val="both"/>
        <w:rPr>
          <w:rFonts w:ascii="Century Gothic" w:hAnsi="Century Gothic"/>
        </w:rPr>
      </w:pPr>
      <w:r>
        <w:rPr>
          <w:rFonts w:ascii="Century Gothic" w:hAnsi="Century Gothic"/>
          <w:spacing w:val="2"/>
        </w:rPr>
        <w:t xml:space="preserve">L’espace de conservation </w:t>
      </w:r>
      <w:r>
        <w:rPr>
          <w:rFonts w:ascii="Century Gothic" w:hAnsi="Century Gothic"/>
          <w:spacing w:val="2"/>
        </w:rPr>
        <w:t xml:space="preserve">de </w:t>
      </w:r>
      <w:r>
        <w:rPr>
          <w:rFonts w:ascii="Century Gothic" w:hAnsi="Century Gothic"/>
          <w:spacing w:val="2"/>
        </w:rPr>
        <w:t>Gonré</w:t>
      </w:r>
      <w:r>
        <w:rPr>
          <w:rFonts w:ascii="Century Gothic" w:hAnsi="Century Gothic"/>
          <w:spacing w:val="2"/>
        </w:rPr>
        <w:t xml:space="preserve"> est </w:t>
      </w:r>
      <w:r>
        <w:rPr>
          <w:rFonts w:ascii="Century Gothic" w:hAnsi="Century Gothic"/>
          <w:spacing w:val="2"/>
        </w:rPr>
        <w:t>repéré par les coordonnées de son centroïde X= 731427 et Y = 1220256 (WGS84, UTM zone 30N)</w:t>
      </w:r>
      <w:r>
        <w:rPr>
          <w:rFonts w:ascii="Century Gothic" w:hAnsi="Century Gothic"/>
          <w:spacing w:val="2"/>
        </w:rPr>
        <w:t xml:space="preserve">. </w:t>
      </w:r>
      <w:r>
        <w:rPr>
          <w:rFonts w:ascii="Century Gothic" w:hAnsi="Century Gothic"/>
        </w:rPr>
        <w:t xml:space="preserve">Situé dans la portion Centre-Ouest de l’espace communal, cette entité d’une superficie potentielle de 33,79 hectares protège essentiellement une portion des berges d’un cours d’eau et un peuplement de </w:t>
      </w:r>
      <w:r>
        <w:rPr>
          <w:rFonts w:ascii="Century Gothic" w:hAnsi="Century Gothic"/>
          <w:i/>
        </w:rPr>
        <w:t>Khaya senegalensis</w:t>
      </w:r>
      <w:r>
        <w:rPr>
          <w:rFonts w:ascii="Century Gothic" w:hAnsi="Century Gothic"/>
        </w:rPr>
        <w:t xml:space="preserve"> (caïcedrat) à la hauteur des exploitations agricoles. Cet espace composite renferme un cordon ripicole,  plusieurs exploitations agricoles ainsi qu’une concession et des jachères.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3066"/>
        <w:gridCol w:w="3136"/>
      </w:tblGrid>
      <w:tr>
        <w:trPr/>
        <w:tc>
          <w:tcPr>
            <w:tcW w:w="1805" w:type="pct"/>
            <w:tcBorders/>
            <w:shd w:val="clear" w:color="auto" w:fill="auto"/>
          </w:tcPr>
          <w:p>
            <w:pPr>
              <w:pStyle w:val="style0"/>
              <w:widowControl w:val="false"/>
              <w:autoSpaceDE w:val="false"/>
              <w:autoSpaceDN w:val="false"/>
              <w:adjustRightInd w:val="false"/>
              <w:ind w:right="318"/>
              <w:jc w:val="both"/>
              <w:rPr>
                <w:rFonts w:ascii="Century Gothic" w:eastAsia="Calibri" w:hAnsi="Century Gothic"/>
              </w:rPr>
            </w:pPr>
            <w:r>
              <w:rPr>
                <w:rFonts w:ascii="Century Gothic" w:eastAsia="Calibri" w:hAnsi="Century Gothic"/>
                <w:noProof/>
              </w:rPr>
              <w:drawing>
                <wp:inline distL="0" distT="0" distB="0" distR="0">
                  <wp:extent cx="1800225" cy="1800225"/>
                  <wp:effectExtent l="0" t="0" r="9525" b="9525"/>
                  <wp:docPr id="1034" name="Image 5" descr="IMG_20210709_101318_3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5"/>
                          <pic:cNvPicPr/>
                        </pic:nvPicPr>
                        <pic:blipFill>
                          <a:blip r:embed="rId9" cstate="print"/>
                          <a:srcRect l="0" t="0" r="0" b="0"/>
                          <a:stretch/>
                        </pic:blipFill>
                        <pic:spPr>
                          <a:xfrm rot="0">
                            <a:off x="0" y="0"/>
                            <a:ext cx="1800225" cy="1800225"/>
                          </a:xfrm>
                          <a:prstGeom prst="rect"/>
                          <a:ln>
                            <a:noFill/>
                          </a:ln>
                        </pic:spPr>
                      </pic:pic>
                    </a:graphicData>
                  </a:graphic>
                </wp:inline>
              </w:drawing>
            </w:r>
          </w:p>
          <w:p>
            <w:pPr>
              <w:pStyle w:val="style0"/>
              <w:widowControl w:val="false"/>
              <w:autoSpaceDE w:val="false"/>
              <w:autoSpaceDN w:val="false"/>
              <w:adjustRightInd w:val="false"/>
              <w:ind w:right="318"/>
              <w:jc w:val="both"/>
              <w:rPr>
                <w:rFonts w:ascii="Century Gothic" w:eastAsia="Calibri" w:hAnsi="Century Gothic"/>
                <w:sz w:val="18"/>
                <w:szCs w:val="18"/>
              </w:rPr>
            </w:pPr>
            <w:r>
              <w:rPr>
                <w:rFonts w:ascii="Century Gothic" w:eastAsia="Calibri" w:hAnsi="Century Gothic"/>
                <w:sz w:val="18"/>
                <w:szCs w:val="18"/>
              </w:rPr>
              <w:t>Berges du cours d’eau protégée par l’E.C de Barré</w:t>
            </w:r>
          </w:p>
        </w:tc>
        <w:tc>
          <w:tcPr>
            <w:tcW w:w="1548" w:type="pct"/>
            <w:tcBorders/>
            <w:shd w:val="clear" w:color="auto" w:fill="auto"/>
          </w:tcPr>
          <w:p>
            <w:pPr>
              <w:pStyle w:val="style0"/>
              <w:widowControl w:val="false"/>
              <w:autoSpaceDE w:val="false"/>
              <w:autoSpaceDN w:val="false"/>
              <w:adjustRightInd w:val="false"/>
              <w:jc w:val="both"/>
              <w:rPr>
                <w:rFonts w:ascii="Century Gothic" w:eastAsia="Calibri" w:hAnsi="Century Gothic"/>
              </w:rPr>
            </w:pPr>
            <w:r>
              <w:rPr>
                <w:rFonts w:ascii="Century Gothic" w:eastAsia="Calibri" w:hAnsi="Century Gothic"/>
                <w:noProof/>
              </w:rPr>
              <w:drawing>
                <wp:inline distL="0" distT="0" distB="0" distR="0">
                  <wp:extent cx="1800225" cy="1800225"/>
                  <wp:effectExtent l="0" t="0" r="9525" b="9525"/>
                  <wp:docPr id="1035" name="Image 4" descr="IMG_20210709_100821_5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10" cstate="print"/>
                          <a:srcRect l="0" t="0" r="0" b="0"/>
                          <a:stretch/>
                        </pic:blipFill>
                        <pic:spPr>
                          <a:xfrm rot="0">
                            <a:off x="0" y="0"/>
                            <a:ext cx="1800225" cy="1800225"/>
                          </a:xfrm>
                          <a:prstGeom prst="rect"/>
                          <a:ln>
                            <a:noFill/>
                          </a:ln>
                        </pic:spPr>
                      </pic:pic>
                    </a:graphicData>
                  </a:graphic>
                </wp:inline>
              </w:drawing>
            </w:r>
          </w:p>
          <w:p>
            <w:pPr>
              <w:pStyle w:val="style0"/>
              <w:widowControl w:val="false"/>
              <w:autoSpaceDE w:val="false"/>
              <w:autoSpaceDN w:val="false"/>
              <w:adjustRightInd w:val="false"/>
              <w:jc w:val="both"/>
              <w:rPr>
                <w:rFonts w:ascii="Century Gothic" w:eastAsia="Calibri" w:hAnsi="Century Gothic"/>
                <w:sz w:val="18"/>
                <w:szCs w:val="18"/>
              </w:rPr>
            </w:pPr>
            <w:r>
              <w:rPr>
                <w:rFonts w:ascii="Century Gothic" w:eastAsia="Calibri" w:hAnsi="Century Gothic"/>
                <w:sz w:val="18"/>
                <w:szCs w:val="18"/>
              </w:rPr>
              <w:t xml:space="preserve">Peuplement de </w:t>
            </w:r>
            <w:r>
              <w:rPr>
                <w:rFonts w:ascii="Century Gothic" w:eastAsia="Calibri" w:hAnsi="Century Gothic"/>
                <w:i/>
                <w:sz w:val="18"/>
                <w:szCs w:val="18"/>
              </w:rPr>
              <w:t>Khaya senegalensis</w:t>
            </w:r>
            <w:r>
              <w:rPr>
                <w:rFonts w:ascii="Century Gothic" w:eastAsia="Calibri" w:hAnsi="Century Gothic"/>
                <w:sz w:val="18"/>
                <w:szCs w:val="18"/>
              </w:rPr>
              <w:t xml:space="preserve"> dans l’E.C de Gonré</w:t>
            </w:r>
          </w:p>
        </w:tc>
        <w:tc>
          <w:tcPr>
            <w:tcW w:w="1647" w:type="pct"/>
            <w:tcBorders/>
            <w:shd w:val="clear" w:color="auto" w:fill="auto"/>
          </w:tcPr>
          <w:p>
            <w:pPr>
              <w:pStyle w:val="style0"/>
              <w:widowControl w:val="false"/>
              <w:autoSpaceDE w:val="false"/>
              <w:autoSpaceDN w:val="false"/>
              <w:adjustRightInd w:val="false"/>
              <w:jc w:val="both"/>
              <w:rPr>
                <w:rFonts w:ascii="Century Gothic" w:eastAsia="Calibri" w:hAnsi="Century Gothic"/>
              </w:rPr>
            </w:pPr>
            <w:r>
              <w:rPr>
                <w:rFonts w:ascii="Century Gothic" w:eastAsia="Calibri" w:hAnsi="Century Gothic"/>
                <w:noProof/>
              </w:rPr>
              <w:drawing>
                <wp:inline distL="0" distT="0" distB="0" distR="0">
                  <wp:extent cx="1800225" cy="1800225"/>
                  <wp:effectExtent l="0" t="0" r="9525" b="9525"/>
                  <wp:docPr id="1036" name="Image 3" descr="IMG_20210709_100824_3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3"/>
                          <pic:cNvPicPr/>
                        </pic:nvPicPr>
                        <pic:blipFill>
                          <a:blip r:embed="rId11" cstate="print"/>
                          <a:srcRect l="0" t="0" r="0" b="0"/>
                          <a:stretch/>
                        </pic:blipFill>
                        <pic:spPr>
                          <a:xfrm rot="0">
                            <a:off x="0" y="0"/>
                            <a:ext cx="1800225" cy="1800225"/>
                          </a:xfrm>
                          <a:prstGeom prst="rect"/>
                          <a:ln>
                            <a:noFill/>
                          </a:ln>
                        </pic:spPr>
                      </pic:pic>
                    </a:graphicData>
                  </a:graphic>
                </wp:inline>
              </w:drawing>
            </w:r>
          </w:p>
          <w:p>
            <w:pPr>
              <w:pStyle w:val="style0"/>
              <w:widowControl w:val="false"/>
              <w:autoSpaceDE w:val="false"/>
              <w:autoSpaceDN w:val="false"/>
              <w:adjustRightInd w:val="false"/>
              <w:jc w:val="both"/>
              <w:rPr>
                <w:rFonts w:ascii="Century Gothic" w:eastAsia="Calibri" w:hAnsi="Century Gothic"/>
                <w:sz w:val="18"/>
                <w:szCs w:val="18"/>
              </w:rPr>
            </w:pPr>
            <w:r>
              <w:rPr>
                <w:rFonts w:ascii="Century Gothic" w:eastAsia="Calibri" w:hAnsi="Century Gothic"/>
                <w:sz w:val="18"/>
                <w:szCs w:val="18"/>
              </w:rPr>
              <w:t>Une concession dans l’E.C. de Gonré</w:t>
            </w:r>
          </w:p>
        </w:tc>
      </w:tr>
    </w:tbl>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p>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r>
        <w:rPr>
          <w:rFonts w:ascii="Century Gothic" w:hAnsi="Century Gothic"/>
          <w:spacing w:val="2"/>
        </w:rPr>
        <w:t>L’espace ne dispose pas de document de classement</w:t>
      </w:r>
      <w:r>
        <w:rPr>
          <w:rFonts w:ascii="Century Gothic" w:hAnsi="Century Gothic"/>
          <w:spacing w:val="2"/>
        </w:rPr>
        <w:t xml:space="preserve"> ni de comité de gestion </w:t>
      </w:r>
      <w:r>
        <w:rPr>
          <w:rFonts w:ascii="Century Gothic" w:hAnsi="Century Gothic"/>
          <w:spacing w:val="2"/>
        </w:rPr>
        <w:t xml:space="preserve">.Au niveau des contraintes, on note une </w:t>
      </w:r>
      <w:r>
        <w:rPr>
          <w:rFonts w:ascii="Century Gothic" w:hAnsi="Century Gothic"/>
          <w:spacing w:val="2"/>
        </w:rPr>
        <w:t>forte pression agricole avec l’existence des emblavures dans la limite de l’espace de conservation</w:t>
      </w:r>
    </w:p>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p>
    <w:bookmarkStart w:id="19" w:name="_Toc82049046"/>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4.1.2</w:t>
      </w:r>
      <w:r>
        <w:rPr>
          <w:rFonts w:ascii="Century Gothic" w:hAnsi="Century Gothic"/>
          <w:szCs w:val="24"/>
        </w:rPr>
        <w:t>. Description détaillée des activités du PDIC REDD +</w:t>
      </w:r>
      <w:r>
        <w:rPr>
          <w:rFonts w:ascii="Century Gothic" w:hAnsi="Century Gothic"/>
          <w:szCs w:val="24"/>
        </w:rPr>
        <w:t xml:space="preserve"> de </w:t>
      </w:r>
      <w:r>
        <w:rPr>
          <w:rFonts w:ascii="Century Gothic" w:hAnsi="Century Gothic"/>
          <w:szCs w:val="24"/>
        </w:rPr>
        <w:t xml:space="preserve">l’espace de conservation de </w:t>
      </w:r>
      <w:r>
        <w:rPr>
          <w:rFonts w:ascii="Century Gothic" w:hAnsi="Century Gothic"/>
          <w:szCs w:val="24"/>
        </w:rPr>
        <w:t>Gonré</w:t>
      </w:r>
      <w:bookmarkEnd w:id="19"/>
    </w:p>
    <w:p>
      <w:pPr>
        <w:pStyle w:val="style179"/>
        <w:tabs>
          <w:tab w:val="left" w:leader="none" w:pos="9214"/>
          <w:tab w:val="left" w:leader="none" w:pos="9639"/>
        </w:tabs>
        <w:ind w:left="0"/>
        <w:jc w:val="both"/>
        <w:rPr>
          <w:rFonts w:ascii="Century Gothic" w:hAnsi="Century Gothic"/>
          <w:i/>
        </w:rPr>
      </w:pPr>
    </w:p>
    <w:bookmarkStart w:id="20" w:name="_Toc503043865"/>
    <w:bookmarkStart w:id="21" w:name="_Toc82049047"/>
    <w:p>
      <w:pPr>
        <w:pStyle w:val="style3"/>
        <w:numPr>
          <w:ilvl w:val="0"/>
          <w:numId w:val="0"/>
        </w:numPr>
        <w:tabs>
          <w:tab w:val="left" w:leader="none" w:pos="9214"/>
          <w:tab w:val="left" w:leader="none" w:pos="9639"/>
        </w:tabs>
        <w:rPr>
          <w:rFonts w:ascii="Century Gothic" w:hAnsi="Century Gothic"/>
          <w:szCs w:val="24"/>
          <w:highlight w:val="magenta"/>
        </w:rPr>
      </w:pPr>
      <w:r>
        <w:rPr>
          <w:rFonts w:ascii="Century Gothic" w:hAnsi="Century Gothic"/>
          <w:szCs w:val="24"/>
        </w:rPr>
        <w:t>4.1</w:t>
      </w:r>
      <w:r>
        <w:rPr>
          <w:rFonts w:ascii="Century Gothic" w:hAnsi="Century Gothic"/>
          <w:szCs w:val="24"/>
        </w:rPr>
        <w:t>.</w:t>
      </w:r>
      <w:r>
        <w:rPr>
          <w:rFonts w:ascii="Century Gothic" w:hAnsi="Century Gothic"/>
          <w:szCs w:val="24"/>
        </w:rPr>
        <w:t>2.</w:t>
      </w:r>
      <w:r>
        <w:rPr>
          <w:rFonts w:ascii="Century Gothic" w:hAnsi="Century Gothic"/>
          <w:szCs w:val="24"/>
        </w:rPr>
        <w:t>1.</w:t>
      </w:r>
      <w:bookmarkEnd w:id="20"/>
      <w:r>
        <w:rPr>
          <w:rFonts w:ascii="Century Gothic" w:hAnsi="Century Gothic"/>
          <w:szCs w:val="24"/>
        </w:rPr>
        <w:t xml:space="preserve"> Activités directement liées à la réduction des émissions de gaz à effet de serre</w:t>
      </w:r>
      <w:bookmarkEnd w:id="21"/>
      <w:r>
        <w:rPr>
          <w:rFonts w:ascii="Century Gothic" w:hAnsi="Century Gothic"/>
          <w:szCs w:val="24"/>
        </w:rPr>
        <w:t xml:space="preserve">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p>
    <w:p>
      <w:pPr>
        <w:pStyle w:val="style0"/>
        <w:jc w:val="both"/>
        <w:rPr>
          <w:rFonts w:ascii="Century Gothic" w:hAnsi="Century Gothic"/>
        </w:rPr>
      </w:pPr>
      <w:r>
        <w:rPr>
          <w:rFonts w:ascii="Century Gothic" w:hAnsi="Century Gothic"/>
        </w:rPr>
        <w:t>Selon le guide</w:t>
      </w:r>
      <w:r>
        <w:rPr>
          <w:rStyle w:val="style38"/>
          <w:rFonts w:ascii="Century Gothic" w:hAnsi="Century Gothic"/>
        </w:rPr>
        <w:footnoteReference w:id="4"/>
      </w:r>
      <w:r>
        <w:rPr>
          <w:rFonts w:ascii="Century Gothic" w:hAnsi="Century Gothic"/>
        </w:rPr>
        <w:t xml:space="preserve"> méthodologique pour la création et la gestion des espaces de conservation par les collectivités territoriales, les espaces de conservation sont des zones de protection des ressources naturelles. Ils prennent notamment en compte les aires de protection de la flore et de la faune. Les espaces de conservation de la commune rurale de Zecco joueront les deux fonctions essentielles que sont : (i) les fonctions socio-économiques à travers la génération de revenus pour différents acteurs, la contribution à la sécurité alimentaire, en produits de pharmacopée et autres produits forestiers non ligneux d’une part et (ii) des fonctions écologiques, culturelles et touristiques telles que la préservation de la biodiversité, la régulation du cycle du carbone, la lutte contre l’érosion, le maintien de la fertilité des sols, la protection des cours et plans d’eau contre l’envasement, l’atténuation des effets nocifs du climat, l’amélioration du cadre de vie, les lieux de culte (bois sacrés), la promotion de l’écotourisme et l’éducation environnementale, etc. d’autre part. La création des espaces de conservation ne doit pas être considérée comme un simple exercice de délimitation et d’immatriculation de zones, mais plutôt comme le résultat d’un exercice participatif et itératif de planification du développement à moyen et long termes.</w:t>
      </w:r>
    </w:p>
    <w:p>
      <w:pPr>
        <w:pStyle w:val="style0"/>
        <w:rPr>
          <w:rFonts w:ascii="Century Gothic" w:hAnsi="Century Gothic"/>
        </w:rPr>
      </w:pPr>
    </w:p>
    <w:p>
      <w:pPr>
        <w:pStyle w:val="style0"/>
        <w:jc w:val="both"/>
        <w:rPr>
          <w:rFonts w:ascii="Century Gothic" w:hAnsi="Century Gothic"/>
        </w:rPr>
      </w:pPr>
      <w:r>
        <w:rPr>
          <w:rFonts w:ascii="Century Gothic" w:hAnsi="Century Gothic"/>
          <w:b/>
          <w:i/>
          <w:u w:val="single"/>
        </w:rPr>
        <w:t>Activité 4.</w:t>
      </w:r>
      <w:r>
        <w:rPr>
          <w:rFonts w:ascii="Century Gothic" w:hAnsi="Century Gothic"/>
          <w:b/>
          <w:i/>
          <w:u w:val="single"/>
        </w:rPr>
        <w:t>1.2.1.1.</w:t>
      </w:r>
      <w:r>
        <w:rPr>
          <w:rFonts w:ascii="Century Gothic" w:hAnsi="Century Gothic"/>
          <w:b/>
          <w:i/>
          <w:u w:val="single"/>
        </w:rPr>
        <w:t xml:space="preserve"> </w:t>
      </w:r>
      <w:r>
        <w:rPr>
          <w:rFonts w:ascii="Century Gothic" w:hAnsi="Century Gothic"/>
          <w:b/>
          <w:i/>
          <w:u w:val="single"/>
        </w:rPr>
        <w:t>Aménager et gérer durablement la forêt villageoise</w:t>
      </w:r>
      <w:r>
        <w:rPr>
          <w:rFonts w:ascii="Century Gothic" w:hAnsi="Century Gothic"/>
          <w:b/>
          <w:i/>
          <w:u w:val="single"/>
        </w:rPr>
        <w:t xml:space="preserve"> de Gonré (33,79 hectares</w:t>
      </w:r>
      <w:r>
        <w:rPr>
          <w:rFonts w:ascii="Century Gothic" w:hAnsi="Century Gothic"/>
          <w:i/>
          <w:u w:val="single"/>
        </w:rPr>
        <w:t>)</w:t>
      </w:r>
    </w:p>
    <w:p>
      <w:pPr>
        <w:pStyle w:val="style0"/>
        <w:jc w:val="both"/>
        <w:rPr>
          <w:rFonts w:ascii="Century Gothic" w:hAnsi="Century Gothic"/>
        </w:rPr>
      </w:pPr>
    </w:p>
    <w:p>
      <w:pPr>
        <w:pStyle w:val="style0"/>
        <w:jc w:val="both"/>
        <w:rPr>
          <w:rFonts w:ascii="Century Gothic" w:hAnsi="Century Gothic"/>
        </w:rPr>
      </w:pPr>
      <w:r>
        <w:rPr>
          <w:rFonts w:ascii="Century Gothic" w:cs="Arial" w:hAnsi="Century Gothic"/>
          <w:b/>
        </w:rPr>
        <w:t>L’objectif</w:t>
      </w:r>
      <w:r>
        <w:rPr>
          <w:rFonts w:ascii="Century Gothic" w:cs="Arial" w:hAnsi="Century Gothic"/>
        </w:rPr>
        <w:t xml:space="preserve"> de l’activité est de planifier dans le temps et dans l’espace les actions à mener pour la préservation </w:t>
      </w:r>
      <w:r>
        <w:rPr>
          <w:rFonts w:ascii="Century Gothic" w:cs="Arial" w:hAnsi="Century Gothic"/>
        </w:rPr>
        <w:t xml:space="preserve">(délimitation, bornage, charte foncière, suivi écologique, etc.) </w:t>
      </w:r>
      <w:r>
        <w:rPr>
          <w:rFonts w:ascii="Century Gothic" w:cs="Arial" w:hAnsi="Century Gothic"/>
        </w:rPr>
        <w:t xml:space="preserve">et la valorisation des ressources de l’espace de conservation </w:t>
      </w:r>
      <w:r>
        <w:rPr>
          <w:rFonts w:ascii="Century Gothic" w:cs="Arial" w:hAnsi="Century Gothic"/>
        </w:rPr>
        <w:t xml:space="preserve">communal de Gonré. </w:t>
      </w:r>
      <w:r>
        <w:rPr>
          <w:rFonts w:ascii="Century Gothic" w:cs="Arial" w:hAnsi="Century Gothic"/>
          <w:b/>
        </w:rPr>
        <w:t>Les</w:t>
      </w:r>
      <w:r>
        <w:rPr>
          <w:rFonts w:ascii="Century Gothic" w:cs="Arial" w:hAnsi="Century Gothic"/>
        </w:rPr>
        <w:t xml:space="preserve"> </w:t>
      </w:r>
      <w:r>
        <w:rPr>
          <w:rFonts w:ascii="Century Gothic" w:cs="Arial" w:hAnsi="Century Gothic"/>
          <w:b/>
        </w:rPr>
        <w:t>moyens humains</w:t>
      </w:r>
      <w:r>
        <w:rPr>
          <w:rFonts w:ascii="Century Gothic" w:cs="Arial" w:hAnsi="Century Gothic"/>
        </w:rPr>
        <w:t xml:space="preserve"> nécessaires seront surtout de l’expertise en aménagement de ressources naturelles pour les formations, la réalisation des prescriptions, environnementales, etc. </w:t>
      </w:r>
      <w:r>
        <w:rPr>
          <w:rFonts w:ascii="Century Gothic" w:cs="Arial" w:hAnsi="Century Gothic"/>
          <w:b/>
        </w:rPr>
        <w:t>Les moyens techniques</w:t>
      </w:r>
      <w:r>
        <w:rPr>
          <w:rFonts w:ascii="Century Gothic" w:cs="Arial" w:hAnsi="Century Gothic"/>
        </w:rPr>
        <w:t xml:space="preserve"> seront constitués de technologie pour les activités d’aménagement (cartographie, inventaire des ressources etc.). </w:t>
      </w:r>
      <w:r>
        <w:rPr>
          <w:rFonts w:ascii="Century Gothic" w:cs="Arial" w:hAnsi="Century Gothic"/>
          <w:b/>
        </w:rPr>
        <w:t>Les moyens matériels</w:t>
      </w:r>
      <w:r>
        <w:rPr>
          <w:rFonts w:ascii="Century Gothic" w:cs="Arial" w:hAnsi="Century Gothic"/>
        </w:rPr>
        <w:t xml:space="preserve"> seront constitués de bornes, de plants pour la délimitation et l’enrichissement, etc.</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w:t>
      </w:r>
      <w:r>
        <w:rPr>
          <w:rFonts w:ascii="Century Gothic" w:hAnsi="Century Gothic"/>
        </w:rPr>
        <w:t>relatifs aux différentes sous activités</w:t>
      </w:r>
      <w:r>
        <w:rPr>
          <w:rFonts w:ascii="Century Gothic" w:hAnsi="Century Gothic"/>
        </w:rPr>
        <w:t xml:space="preserve">. Ces ressources seront financées par le budget du PDIC/REDD+ de </w:t>
      </w:r>
      <w:r>
        <w:rPr>
          <w:rFonts w:ascii="Century Gothic" w:hAnsi="Century Gothic"/>
        </w:rPr>
        <w:t>Zecco</w:t>
      </w:r>
      <w:r>
        <w:rPr>
          <w:rFonts w:ascii="Century Gothic" w:hAnsi="Century Gothic"/>
        </w:rPr>
        <w:t>. L’organisation et la gestion de l’activité sera faite par le maire qui assure le rôle d</w:t>
      </w:r>
      <w:r>
        <w:rPr>
          <w:rFonts w:ascii="Century Gothic" w:hAnsi="Century Gothic"/>
        </w:rPr>
        <w:t>e coordination de l’activité, en collaboration avec le CVD et les services techniques du développement rural.</w:t>
      </w:r>
      <w:r>
        <w:rPr>
          <w:rFonts w:ascii="Century Gothic" w:hAnsi="Century Gothic"/>
        </w:rPr>
        <w:t xml:space="preserve"> </w:t>
      </w:r>
    </w:p>
    <w:p>
      <w:pPr>
        <w:pStyle w:val="style0"/>
        <w:tabs>
          <w:tab w:val="left" w:leader="none" w:pos="9214"/>
          <w:tab w:val="left" w:leader="none" w:pos="9639"/>
        </w:tabs>
        <w:jc w:val="both"/>
        <w:rPr>
          <w:rFonts w:ascii="Century Gothic" w:hAnsi="Century Gothic"/>
          <w:i/>
          <w:u w:val="single"/>
        </w:rPr>
      </w:pPr>
    </w:p>
    <w:p>
      <w:pPr>
        <w:pStyle w:val="style0"/>
        <w:jc w:val="both"/>
        <w:rPr>
          <w:rFonts w:ascii="Century Gothic" w:hAnsi="Century Gothic"/>
          <w:i/>
          <w:spacing w:val="-1"/>
          <w:u w:val="single"/>
        </w:rPr>
      </w:pPr>
      <w:r>
        <w:rPr>
          <w:rFonts w:ascii="Century Gothic" w:hAnsi="Century Gothic"/>
          <w:i/>
          <w:u w:val="single"/>
        </w:rPr>
        <w:t xml:space="preserve">Sous-Activité 4.1.2.1.1.1. </w:t>
      </w:r>
      <w:r>
        <w:rPr>
          <w:rFonts w:ascii="Century Gothic" w:hAnsi="Century Gothic"/>
          <w:i/>
          <w:u w:val="single"/>
        </w:rPr>
        <w:t>Appuyer la production des plants</w:t>
      </w:r>
      <w:r>
        <w:rPr>
          <w:rFonts w:ascii="Century Gothic" w:hAnsi="Century Gothic"/>
          <w:i/>
          <w:spacing w:val="-2"/>
          <w:u w:val="single"/>
        </w:rPr>
        <w:t xml:space="preserve"> </w:t>
      </w:r>
      <w:r>
        <w:rPr>
          <w:rFonts w:ascii="Century Gothic" w:hAnsi="Century Gothic"/>
          <w:i/>
          <w:spacing w:val="2"/>
          <w:u w:val="single"/>
        </w:rPr>
        <w:t>d</w:t>
      </w:r>
      <w:r>
        <w:rPr>
          <w:rFonts w:ascii="Century Gothic" w:hAnsi="Century Gothic"/>
          <w:i/>
          <w:spacing w:val="-1"/>
          <w:u w:val="single"/>
        </w:rPr>
        <w:t>a</w:t>
      </w:r>
      <w:r>
        <w:rPr>
          <w:rFonts w:ascii="Century Gothic" w:hAnsi="Century Gothic"/>
          <w:i/>
          <w:u w:val="single"/>
        </w:rPr>
        <w:t xml:space="preserve">ns l’espace </w:t>
      </w:r>
      <w:r>
        <w:rPr>
          <w:rFonts w:ascii="Century Gothic" w:hAnsi="Century Gothic"/>
          <w:i/>
          <w:spacing w:val="-1"/>
          <w:u w:val="single"/>
        </w:rPr>
        <w:t xml:space="preserve">de conservation de </w:t>
      </w:r>
      <w:r>
        <w:rPr>
          <w:rFonts w:ascii="Century Gothic" w:hAnsi="Century Gothic"/>
          <w:i/>
          <w:spacing w:val="-1"/>
          <w:u w:val="single"/>
        </w:rPr>
        <w:t>Gonré</w:t>
      </w:r>
      <w:r>
        <w:rPr>
          <w:rFonts w:ascii="Century Gothic" w:hAnsi="Century Gothic"/>
          <w:i/>
          <w:spacing w:val="-1"/>
          <w:u w:val="single"/>
        </w:rPr>
        <w:t> </w:t>
      </w:r>
    </w:p>
    <w:p>
      <w:pPr>
        <w:pStyle w:val="style0"/>
        <w:jc w:val="both"/>
        <w:rPr>
          <w:rFonts w:ascii="Century Gothic" w:hAnsi="Century Gothic"/>
          <w:i/>
          <w:spacing w:val="-1"/>
          <w:u w:val="single"/>
        </w:rPr>
      </w:pPr>
    </w:p>
    <w:p>
      <w:pPr>
        <w:pStyle w:val="style0"/>
        <w:jc w:val="both"/>
        <w:rPr>
          <w:rFonts w:ascii="Century Gothic" w:hAnsi="Century Gothic"/>
        </w:rPr>
      </w:pPr>
      <w:r>
        <w:rPr>
          <w:rFonts w:ascii="Century Gothic" w:hAnsi="Century Gothic"/>
          <w:b/>
          <w:bCs/>
        </w:rPr>
        <w:t>L’objectif de l’activité</w:t>
      </w:r>
      <w:r>
        <w:rPr>
          <w:rFonts w:ascii="Century Gothic" w:hAnsi="Century Gothic"/>
          <w:bCs/>
        </w:rPr>
        <w:t xml:space="preserve"> est d’une part de satisfaire les besoins en plants de qualité et en quantité </w:t>
      </w:r>
      <w:r>
        <w:rPr>
          <w:rFonts w:ascii="Century Gothic" w:hAnsi="Century Gothic"/>
          <w:bCs/>
        </w:rPr>
        <w:t xml:space="preserve">au profit </w:t>
      </w:r>
      <w:r>
        <w:rPr>
          <w:rFonts w:ascii="Century Gothic" w:hAnsi="Century Gothic"/>
          <w:bCs/>
        </w:rPr>
        <w:t xml:space="preserve">des populations et </w:t>
      </w:r>
      <w:r>
        <w:rPr>
          <w:rFonts w:ascii="Century Gothic" w:hAnsi="Century Gothic"/>
          <w:bCs/>
        </w:rPr>
        <w:t xml:space="preserve">pour l’amélioration du couvert forestier de </w:t>
      </w:r>
      <w:r>
        <w:rPr>
          <w:rFonts w:ascii="Century Gothic" w:hAnsi="Century Gothic"/>
          <w:bCs/>
        </w:rPr>
        <w:t xml:space="preserve">l’espace de conservation et d’autre part de développer d’autres initiatives de production à l’intérieur du site de la pépinière. </w:t>
      </w:r>
      <w:r>
        <w:rPr>
          <w:rFonts w:ascii="Century Gothic" w:hAnsi="Century Gothic"/>
          <w:b/>
          <w:bCs/>
        </w:rPr>
        <w:t>La méthode</w:t>
      </w:r>
      <w:r>
        <w:rPr>
          <w:rFonts w:ascii="Century Gothic" w:hAnsi="Century Gothic"/>
          <w:b/>
          <w:bCs/>
          <w:i/>
        </w:rPr>
        <w:t xml:space="preserve"> </w:t>
      </w:r>
      <w:r>
        <w:rPr>
          <w:rFonts w:ascii="Century Gothic" w:hAnsi="Century Gothic"/>
          <w:bCs/>
        </w:rPr>
        <w:t xml:space="preserve">va se reposer sur la sélection des pépiniéristes, </w:t>
      </w:r>
      <w:r>
        <w:rPr>
          <w:rFonts w:ascii="Century Gothic" w:hAnsi="Century Gothic"/>
          <w:bCs/>
        </w:rPr>
        <w:t>au niveau du périmètre</w:t>
      </w:r>
      <w:r>
        <w:rPr>
          <w:rFonts w:ascii="Century Gothic" w:hAnsi="Century Gothic"/>
          <w:bCs/>
        </w:rPr>
        <w:t xml:space="preserve"> maraich</w:t>
      </w:r>
      <w:r>
        <w:rPr>
          <w:rFonts w:ascii="Century Gothic" w:hAnsi="Century Gothic"/>
          <w:bCs/>
        </w:rPr>
        <w:t>er</w:t>
      </w:r>
      <w:r>
        <w:rPr>
          <w:rFonts w:ascii="Century Gothic" w:hAnsi="Century Gothic"/>
          <w:bCs/>
        </w:rPr>
        <w:t xml:space="preserve"> </w:t>
      </w:r>
      <w:r>
        <w:rPr>
          <w:rFonts w:ascii="Century Gothic" w:hAnsi="Century Gothic"/>
          <w:bCs/>
        </w:rPr>
        <w:t>de</w:t>
      </w:r>
      <w:r>
        <w:rPr>
          <w:rFonts w:ascii="Century Gothic" w:hAnsi="Century Gothic"/>
          <w:bCs/>
        </w:rPr>
        <w:t xml:space="preserve"> la coopérative féminine </w:t>
      </w:r>
      <w:r>
        <w:rPr>
          <w:rFonts w:ascii="Century Gothic" w:hAnsi="Century Gothic"/>
        </w:rPr>
        <w:t>Song Taaba Maboltenga</w:t>
      </w:r>
      <w:r>
        <w:rPr>
          <w:rFonts w:ascii="Century Gothic" w:hAnsi="Century Gothic"/>
          <w:bCs/>
        </w:rPr>
        <w:t>, le suivi des productions</w:t>
      </w:r>
      <w:r>
        <w:rPr>
          <w:rFonts w:ascii="Century Gothic" w:hAnsi="Century Gothic"/>
          <w:bCs/>
        </w:rPr>
        <w:t xml:space="preserve">. </w:t>
      </w:r>
      <w:r>
        <w:rPr>
          <w:rFonts w:ascii="Century Gothic" w:hAnsi="Century Gothic"/>
          <w:b/>
          <w:bCs/>
        </w:rPr>
        <w:t>Les résultats attendus</w:t>
      </w:r>
      <w:r>
        <w:rPr>
          <w:rFonts w:ascii="Century Gothic" w:hAnsi="Century Gothic"/>
          <w:bCs/>
        </w:rPr>
        <w:t xml:space="preserve"> est qu’une pépinière est opérationnelle dans le village de </w:t>
      </w:r>
      <w:r>
        <w:rPr>
          <w:rFonts w:ascii="Century Gothic" w:hAnsi="Century Gothic"/>
          <w:bCs/>
        </w:rPr>
        <w:t>Gonré</w:t>
      </w:r>
      <w:r>
        <w:rPr>
          <w:rFonts w:ascii="Century Gothic" w:hAnsi="Century Gothic"/>
          <w:bCs/>
        </w:rPr>
        <w:t xml:space="preserve">. </w:t>
      </w:r>
      <w:r>
        <w:rPr>
          <w:rFonts w:ascii="Century Gothic" w:hAnsi="Century Gothic"/>
          <w:b/>
        </w:rPr>
        <w:t>L</w:t>
      </w:r>
      <w:r>
        <w:rPr>
          <w:rFonts w:ascii="Century Gothic" w:hAnsi="Century Gothic"/>
          <w:b/>
        </w:rPr>
        <w:t>es moyens humains</w:t>
      </w:r>
      <w:r>
        <w:rPr>
          <w:rFonts w:ascii="Century Gothic" w:hAnsi="Century Gothic"/>
        </w:rPr>
        <w:t xml:space="preserve"> sont constitués de l’expertise technique d</w:t>
      </w:r>
      <w:r>
        <w:rPr>
          <w:rFonts w:ascii="Century Gothic" w:hAnsi="Century Gothic"/>
        </w:rPr>
        <w:t>es</w:t>
      </w:r>
      <w:r>
        <w:rPr>
          <w:rFonts w:ascii="Century Gothic" w:hAnsi="Century Gothic"/>
        </w:rPr>
        <w:t xml:space="preserve"> service</w:t>
      </w:r>
      <w:r>
        <w:rPr>
          <w:rFonts w:ascii="Century Gothic" w:hAnsi="Century Gothic"/>
        </w:rPr>
        <w:t>s</w:t>
      </w:r>
      <w:r>
        <w:rPr>
          <w:rFonts w:ascii="Century Gothic" w:hAnsi="Century Gothic"/>
        </w:rPr>
        <w:t xml:space="preserve"> de l’environnement. </w:t>
      </w:r>
      <w:r>
        <w:rPr>
          <w:rFonts w:ascii="Century Gothic" w:hAnsi="Century Gothic"/>
          <w:b/>
        </w:rPr>
        <w:t>Les moyens financiers</w:t>
      </w:r>
      <w:r>
        <w:rPr>
          <w:rFonts w:ascii="Century Gothic" w:hAnsi="Century Gothic"/>
        </w:rPr>
        <w:t xml:space="preserve"> seront constitués de frais de prise </w:t>
      </w:r>
      <w:r>
        <w:rPr>
          <w:rFonts w:ascii="Century Gothic" w:hAnsi="Century Gothic"/>
        </w:rPr>
        <w:t xml:space="preserve">en charge </w:t>
      </w:r>
      <w:r>
        <w:rPr>
          <w:rFonts w:ascii="Century Gothic" w:hAnsi="Century Gothic"/>
        </w:rPr>
        <w:t>du formateur et des participants et de l’acquisition du matériel de pépinière. Ces ressources sero</w:t>
      </w:r>
      <w:r>
        <w:rPr>
          <w:rFonts w:ascii="Century Gothic" w:hAnsi="Century Gothic"/>
        </w:rPr>
        <w:t xml:space="preserve">nt financées par le budget du </w:t>
      </w:r>
      <w:r>
        <w:rPr>
          <w:rFonts w:ascii="Century Gothic" w:hAnsi="Century Gothic"/>
        </w:rPr>
        <w:t xml:space="preserve">PDIC/REDD+ de </w:t>
      </w:r>
      <w:r>
        <w:rPr>
          <w:rFonts w:ascii="Century Gothic" w:hAnsi="Century Gothic"/>
        </w:rPr>
        <w:t>Zecco</w:t>
      </w:r>
      <w:r>
        <w:rPr>
          <w:rFonts w:ascii="Century Gothic" w:hAnsi="Century Gothic"/>
        </w:rPr>
        <w:t xml:space="preserve">. </w:t>
      </w:r>
      <w:r>
        <w:rPr>
          <w:rFonts w:ascii="Century Gothic" w:hAnsi="Century Gothic"/>
        </w:rPr>
        <w:t>L’organisation et la gestion de l’activité sera faite par le maire qui assure le rôle de coordination de l’activité</w:t>
      </w:r>
      <w:r>
        <w:rPr>
          <w:rFonts w:ascii="Century Gothic" w:hAnsi="Century Gothic"/>
        </w:rPr>
        <w:t xml:space="preserve"> en collaboration avec le CVD, la coopérative </w:t>
      </w:r>
      <w:r>
        <w:rPr>
          <w:rFonts w:ascii="Century Gothic" w:hAnsi="Century Gothic"/>
          <w:bCs/>
        </w:rPr>
        <w:t xml:space="preserve">féminine </w:t>
      </w:r>
      <w:r>
        <w:rPr>
          <w:rFonts w:ascii="Century Gothic" w:hAnsi="Century Gothic"/>
        </w:rPr>
        <w:t xml:space="preserve">Song Taaba Maboltenga </w:t>
      </w:r>
      <w:r>
        <w:rPr>
          <w:rFonts w:ascii="Century Gothic" w:hAnsi="Century Gothic"/>
        </w:rPr>
        <w:t xml:space="preserve">et le service technique de l’environnement </w:t>
      </w:r>
      <w:r>
        <w:rPr>
          <w:rFonts w:ascii="Century Gothic" w:hAnsi="Century Gothic"/>
        </w:rPr>
        <w:t>de Zecco</w:t>
      </w:r>
      <w:r>
        <w:rPr>
          <w:rFonts w:ascii="Century Gothic" w:hAnsi="Century Gothic"/>
        </w:rPr>
        <w:t xml:space="preserve">.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p>
    <w:p>
      <w:pPr>
        <w:pStyle w:val="style0"/>
        <w:tabs>
          <w:tab w:val="left" w:leader="none" w:pos="9214"/>
          <w:tab w:val="left" w:leader="none" w:pos="9639"/>
        </w:tabs>
        <w:jc w:val="both"/>
        <w:rPr>
          <w:rFonts w:ascii="Century Gothic" w:hAnsi="Century Gothic"/>
          <w:b/>
          <w:i/>
        </w:rPr>
      </w:pPr>
      <w:r>
        <w:rPr>
          <w:rFonts w:ascii="Century Gothic" w:hAnsi="Century Gothic"/>
          <w:i/>
          <w:u w:val="single"/>
        </w:rPr>
        <w:t>Sous-Activité 4.1.2.1.1.2</w:t>
      </w:r>
      <w:r>
        <w:rPr>
          <w:rFonts w:ascii="Century Gothic" w:hAnsi="Century Gothic"/>
          <w:i/>
          <w:u w:val="single"/>
        </w:rPr>
        <w:t>. Réalis</w:t>
      </w:r>
      <w:r>
        <w:rPr>
          <w:rFonts w:ascii="Century Gothic" w:hAnsi="Century Gothic"/>
          <w:i/>
          <w:u w:val="single"/>
        </w:rPr>
        <w:t>er</w:t>
      </w:r>
      <w:r>
        <w:rPr>
          <w:rFonts w:ascii="Century Gothic" w:hAnsi="Century Gothic"/>
          <w:i/>
          <w:u w:val="single"/>
        </w:rPr>
        <w:t xml:space="preserve"> des plantations d’enrichissement/délimitation</w:t>
      </w:r>
      <w:r>
        <w:rPr>
          <w:rFonts w:ascii="Century Gothic" w:hAnsi="Century Gothic"/>
          <w:i/>
          <w:u w:val="single"/>
        </w:rPr>
        <w:t xml:space="preserve"> de la forêt de </w:t>
      </w:r>
      <w:r>
        <w:rPr>
          <w:rFonts w:ascii="Century Gothic" w:hAnsi="Century Gothic"/>
          <w:i/>
          <w:u w:val="single"/>
        </w:rPr>
        <w:t>Gonré</w:t>
      </w:r>
    </w:p>
    <w:p>
      <w:pPr>
        <w:pStyle w:val="style0"/>
        <w:tabs>
          <w:tab w:val="left" w:leader="none" w:pos="9214"/>
          <w:tab w:val="left" w:leader="none" w:pos="9639"/>
        </w:tabs>
        <w:jc w:val="both"/>
        <w:rPr>
          <w:rFonts w:ascii="Century Gothic" w:hAnsi="Century Gothic"/>
          <w:b/>
          <w:i/>
        </w:rPr>
      </w:pPr>
    </w:p>
    <w:p>
      <w:pPr>
        <w:pStyle w:val="style0"/>
        <w:tabs>
          <w:tab w:val="left" w:leader="none" w:pos="9214"/>
          <w:tab w:val="left" w:leader="none" w:pos="9639"/>
        </w:tabs>
        <w:jc w:val="both"/>
        <w:rPr>
          <w:rFonts w:ascii="Century Gothic" w:hAnsi="Century Gothic"/>
        </w:rPr>
      </w:pPr>
      <w:r>
        <w:rPr>
          <w:rFonts w:ascii="Century Gothic" w:hAnsi="Century Gothic"/>
          <w:b/>
        </w:rPr>
        <w:t>L’o</w:t>
      </w:r>
      <w:r>
        <w:rPr>
          <w:rFonts w:ascii="Century Gothic" w:hAnsi="Century Gothic"/>
          <w:b/>
        </w:rPr>
        <w:t>bjectif</w:t>
      </w:r>
      <w:r>
        <w:rPr>
          <w:rFonts w:ascii="Century Gothic" w:hAnsi="Century Gothic"/>
          <w:b/>
          <w:i/>
        </w:rPr>
        <w:t> </w:t>
      </w:r>
      <w:r>
        <w:rPr>
          <w:rFonts w:ascii="Century Gothic" w:hAnsi="Century Gothic"/>
        </w:rPr>
        <w:t>est d’a</w:t>
      </w:r>
      <w:r>
        <w:rPr>
          <w:rFonts w:ascii="Century Gothic" w:hAnsi="Century Gothic"/>
        </w:rPr>
        <w:t xml:space="preserve">ccroitre la capacité de séquestration de carbone de la forêt villageoise de </w:t>
      </w:r>
      <w:r>
        <w:rPr>
          <w:rFonts w:ascii="Century Gothic" w:hAnsi="Century Gothic"/>
        </w:rPr>
        <w:t>Gonré</w:t>
      </w:r>
      <w:r>
        <w:rPr>
          <w:rFonts w:ascii="Century Gothic" w:hAnsi="Century Gothic"/>
        </w:rPr>
        <w:t xml:space="preserve"> d’une superficie de </w:t>
      </w:r>
      <w:r>
        <w:rPr>
          <w:rFonts w:ascii="Century Gothic" w:hAnsi="Century Gothic"/>
        </w:rPr>
        <w:t>33,79</w:t>
      </w:r>
      <w:r>
        <w:rPr>
          <w:rFonts w:ascii="Century Gothic" w:hAnsi="Century Gothic"/>
        </w:rPr>
        <w:t xml:space="preserve"> Hectares. </w:t>
      </w:r>
      <w:r>
        <w:rPr>
          <w:rFonts w:ascii="Century Gothic" w:hAnsi="Century Gothic"/>
          <w:b/>
        </w:rPr>
        <w:t>La méthode</w:t>
      </w:r>
      <w:r>
        <w:rPr>
          <w:rFonts w:ascii="Century Gothic" w:hAnsi="Century Gothic"/>
        </w:rPr>
        <w:t xml:space="preserve"> : </w:t>
      </w:r>
      <w:r>
        <w:rPr>
          <w:rFonts w:ascii="Century Gothic" w:hAnsi="Century Gothic"/>
        </w:rPr>
        <w:t xml:space="preserve">Il s’agira des plantations de délimitation de 2 rangées sur une longueur totale de </w:t>
      </w:r>
      <w:r>
        <w:rPr>
          <w:rFonts w:ascii="Century Gothic" w:hAnsi="Century Gothic"/>
        </w:rPr>
        <w:t>3000</w:t>
      </w:r>
      <w:r>
        <w:rPr>
          <w:rFonts w:ascii="Century Gothic" w:hAnsi="Century Gothic"/>
        </w:rPr>
        <w:t xml:space="preserve"> mètres de périmètre (soit </w:t>
      </w:r>
      <w:r>
        <w:rPr>
          <w:rFonts w:ascii="Century Gothic" w:hAnsi="Century Gothic"/>
        </w:rPr>
        <w:t>1500</w:t>
      </w:r>
      <w:r>
        <w:rPr>
          <w:rFonts w:ascii="Century Gothic" w:hAnsi="Century Gothic"/>
        </w:rPr>
        <w:t xml:space="preserve"> plants en raison d’un écartement de 4mètres/4) et d’enrichissement à l’intérieur de la forêt soit </w:t>
      </w:r>
      <w:r>
        <w:rPr>
          <w:rFonts w:ascii="Century Gothic" w:hAnsi="Century Gothic"/>
        </w:rPr>
        <w:t>5</w:t>
      </w:r>
      <w:r>
        <w:rPr>
          <w:rFonts w:ascii="Century Gothic" w:hAnsi="Century Gothic"/>
        </w:rPr>
        <w:t xml:space="preserve"> hectares (</w:t>
      </w:r>
      <w:r>
        <w:rPr>
          <w:rFonts w:ascii="Century Gothic" w:hAnsi="Century Gothic"/>
        </w:rPr>
        <w:t>3125</w:t>
      </w:r>
      <w:r>
        <w:rPr>
          <w:rFonts w:ascii="Century Gothic" w:hAnsi="Century Gothic"/>
        </w:rPr>
        <w:t xml:space="preserve"> plants). Ce qui donne un total de </w:t>
      </w:r>
      <w:r>
        <w:rPr>
          <w:rFonts w:ascii="Century Gothic" w:hAnsi="Century Gothic"/>
        </w:rPr>
        <w:t>4650</w:t>
      </w:r>
      <w:r>
        <w:rPr>
          <w:rFonts w:ascii="Century Gothic" w:hAnsi="Century Gothic"/>
        </w:rPr>
        <w:t xml:space="preserve"> Plants</w:t>
      </w:r>
      <w:r>
        <w:rPr>
          <w:rFonts w:ascii="Century Gothic" w:hAnsi="Century Gothic"/>
        </w:rPr>
        <w:t xml:space="preserve"> par an soit </w:t>
      </w:r>
      <w:r>
        <w:rPr>
          <w:rFonts w:ascii="Century Gothic" w:hAnsi="Century Gothic"/>
        </w:rPr>
        <w:t>13 950</w:t>
      </w:r>
      <w:r>
        <w:rPr>
          <w:rFonts w:ascii="Century Gothic" w:hAnsi="Century Gothic"/>
        </w:rPr>
        <w:t xml:space="preserve"> plants pour l</w:t>
      </w:r>
      <w:r>
        <w:rPr>
          <w:rFonts w:ascii="Century Gothic" w:hAnsi="Century Gothic"/>
        </w:rPr>
        <w:t xml:space="preserve">es trois premières années </w:t>
      </w:r>
      <w:r>
        <w:rPr>
          <w:rFonts w:ascii="Century Gothic" w:hAnsi="Century Gothic"/>
        </w:rPr>
        <w:t>du projet</w:t>
      </w:r>
      <w:r>
        <w:rPr>
          <w:rFonts w:ascii="Century Gothic" w:hAnsi="Century Gothic"/>
        </w:rPr>
        <w:t xml:space="preserve">. </w:t>
      </w:r>
      <w:r>
        <w:rPr>
          <w:rFonts w:ascii="Century Gothic" w:hAnsi="Century Gothic"/>
          <w:b/>
        </w:rPr>
        <w:t>Les moyens humains</w:t>
      </w:r>
      <w:r>
        <w:rPr>
          <w:rFonts w:ascii="Century Gothic" w:hAnsi="Century Gothic"/>
          <w:b/>
          <w:i/>
        </w:rPr>
        <w:t xml:space="preserve"> </w:t>
      </w:r>
      <w:r>
        <w:rPr>
          <w:rFonts w:ascii="Century Gothic" w:hAnsi="Century Gothic"/>
        </w:rPr>
        <w:t xml:space="preserve">sont constitués de l’expertise technique du service forestier et l’accompagnement des populations riveraines </w:t>
      </w:r>
      <w:r>
        <w:rPr>
          <w:rFonts w:ascii="Century Gothic" w:hAnsi="Century Gothic"/>
        </w:rPr>
        <w:t xml:space="preserve">(comité de gestion) </w:t>
      </w:r>
      <w:r>
        <w:rPr>
          <w:rFonts w:ascii="Century Gothic" w:hAnsi="Century Gothic"/>
        </w:rPr>
        <w:t xml:space="preserve">pour les trouaisons, la plantation et les entretiens. </w:t>
      </w:r>
      <w:r>
        <w:rPr>
          <w:rFonts w:ascii="Century Gothic" w:hAnsi="Century Gothic"/>
          <w:b/>
        </w:rPr>
        <w:t>Les moyens matériels</w:t>
      </w:r>
      <w:r>
        <w:rPr>
          <w:rFonts w:ascii="Century Gothic" w:hAnsi="Century Gothic"/>
        </w:rPr>
        <w:t xml:space="preserve"> seront constitués de plants, de pioches, pic à gaz et de pelles, de ruban</w:t>
      </w:r>
      <w:r>
        <w:rPr>
          <w:rFonts w:ascii="Century Gothic" w:hAnsi="Century Gothic"/>
        </w:rPr>
        <w:t xml:space="preserve"> métrique (</w:t>
      </w:r>
      <w:r>
        <w:rPr>
          <w:rFonts w:ascii="Century Gothic" w:hAnsi="Century Gothic"/>
        </w:rPr>
        <w:t>piquetage)</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w:t>
      </w:r>
      <w:r>
        <w:rPr>
          <w:rFonts w:ascii="Century Gothic" w:hAnsi="Century Gothic"/>
        </w:rPr>
        <w:t xml:space="preserve">. </w:t>
      </w:r>
      <w:r>
        <w:rPr>
          <w:rFonts w:ascii="Century Gothic" w:hAnsi="Century Gothic"/>
        </w:rPr>
        <w:t xml:space="preserve">Ces ressources seront financées par le budget du </w:t>
      </w:r>
      <w:r>
        <w:rPr>
          <w:rFonts w:ascii="Century Gothic" w:hAnsi="Century Gothic"/>
        </w:rPr>
        <w:t>PDIC/REDD+ de Tiébélé</w:t>
      </w:r>
      <w:r>
        <w:rPr>
          <w:rFonts w:ascii="Century Gothic" w:hAnsi="Century Gothic"/>
        </w:rPr>
        <w:t>. Les trouaisons, plantations et entretien des plantations seront la contribution des populations</w:t>
      </w:r>
      <w:r>
        <w:rPr>
          <w:rFonts w:ascii="Century Gothic" w:hAnsi="Century Gothic"/>
        </w:rPr>
        <w:t xml:space="preserve">. L’organisation et la gestion de l’activité sera faite par la commune </w:t>
      </w:r>
      <w:r>
        <w:rPr>
          <w:rFonts w:ascii="Century Gothic" w:hAnsi="Century Gothic"/>
        </w:rPr>
        <w:t xml:space="preserve">à travers le maire </w:t>
      </w:r>
      <w:r>
        <w:rPr>
          <w:rFonts w:ascii="Century Gothic" w:hAnsi="Century Gothic"/>
        </w:rPr>
        <w:t>qui assure le rôle de coordinat</w:t>
      </w:r>
      <w:r>
        <w:rPr>
          <w:rFonts w:ascii="Century Gothic" w:hAnsi="Century Gothic"/>
        </w:rPr>
        <w:t>eur</w:t>
      </w:r>
      <w:r>
        <w:rPr>
          <w:rFonts w:ascii="Century Gothic" w:hAnsi="Century Gothic"/>
        </w:rPr>
        <w:t xml:space="preserve"> en collaboration avec, l’association Ga Mo Wigna, le service forestier et le</w:t>
      </w:r>
      <w:r>
        <w:rPr>
          <w:rFonts w:ascii="Century Gothic" w:hAnsi="Century Gothic"/>
        </w:rPr>
        <w:t xml:space="preserve"> comité de gestion</w:t>
      </w:r>
      <w:r>
        <w:rPr>
          <w:rFonts w:ascii="Century Gothic" w:hAnsi="Century Gothic"/>
        </w:rPr>
        <w:t xml:space="preserve">.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i/>
          <w:spacing w:val="-1"/>
          <w:u w:val="single"/>
        </w:rPr>
      </w:pPr>
      <w:r>
        <w:rPr>
          <w:rFonts w:ascii="Century Gothic" w:hAnsi="Century Gothic"/>
          <w:i/>
          <w:u w:val="single"/>
        </w:rPr>
        <w:t xml:space="preserve">Sous-Activité 4.1.2.1.1.3. </w:t>
      </w:r>
      <w:r>
        <w:rPr>
          <w:rFonts w:ascii="Century Gothic" w:hAnsi="Century Gothic"/>
          <w:i/>
          <w:u w:val="single"/>
        </w:rPr>
        <w:t xml:space="preserve"> </w:t>
      </w:r>
      <w:r>
        <w:rPr>
          <w:rFonts w:ascii="Century Gothic" w:hAnsi="Century Gothic"/>
          <w:i/>
          <w:u w:val="single"/>
        </w:rPr>
        <w:t>Réalis</w:t>
      </w:r>
      <w:r>
        <w:rPr>
          <w:rFonts w:ascii="Century Gothic" w:hAnsi="Century Gothic"/>
          <w:i/>
          <w:u w:val="single"/>
        </w:rPr>
        <w:t>er</w:t>
      </w:r>
      <w:r>
        <w:rPr>
          <w:rFonts w:ascii="Century Gothic" w:hAnsi="Century Gothic"/>
          <w:i/>
          <w:u w:val="single"/>
        </w:rPr>
        <w:t xml:space="preserve"> de</w:t>
      </w:r>
      <w:r>
        <w:rPr>
          <w:rFonts w:ascii="Century Gothic" w:hAnsi="Century Gothic"/>
          <w:i/>
          <w:u w:val="single"/>
        </w:rPr>
        <w:t>s</w:t>
      </w:r>
      <w:r>
        <w:rPr>
          <w:rFonts w:ascii="Century Gothic" w:hAnsi="Century Gothic"/>
          <w:i/>
          <w:u w:val="single"/>
        </w:rPr>
        <w:t xml:space="preserve"> plantations individuelles dans les villages riverains d</w:t>
      </w:r>
      <w:r>
        <w:rPr>
          <w:rFonts w:ascii="Century Gothic" w:hAnsi="Century Gothic"/>
          <w:i/>
          <w:u w:val="single"/>
        </w:rPr>
        <w:t>ans l’espace</w:t>
      </w:r>
      <w:r>
        <w:rPr>
          <w:rFonts w:ascii="Century Gothic" w:hAnsi="Century Gothic"/>
          <w:i/>
          <w:u w:val="single"/>
        </w:rPr>
        <w:t xml:space="preserve"> de conservation de </w:t>
      </w:r>
      <w:r>
        <w:rPr>
          <w:rFonts w:ascii="Century Gothic" w:hAnsi="Century Gothic"/>
          <w:i/>
          <w:spacing w:val="-1"/>
          <w:u w:val="single"/>
        </w:rPr>
        <w:t>Gonré</w:t>
      </w:r>
    </w:p>
    <w:p>
      <w:pPr>
        <w:pStyle w:val="style0"/>
        <w:tabs>
          <w:tab w:val="left" w:leader="none" w:pos="9214"/>
          <w:tab w:val="left" w:leader="none" w:pos="9639"/>
        </w:tabs>
        <w:jc w:val="both"/>
        <w:rPr>
          <w:rFonts w:ascii="Century Gothic" w:hAnsi="Century Gothic"/>
          <w:i/>
          <w:spacing w:val="-1"/>
          <w:u w:val="single"/>
        </w:rPr>
      </w:pPr>
    </w:p>
    <w:p>
      <w:pPr>
        <w:pStyle w:val="style0"/>
        <w:tabs>
          <w:tab w:val="left" w:leader="none" w:pos="9214"/>
          <w:tab w:val="left" w:leader="none" w:pos="9639"/>
        </w:tabs>
        <w:jc w:val="both"/>
        <w:rPr>
          <w:rFonts w:ascii="Century Gothic" w:hAnsi="Century Gothic"/>
        </w:rPr>
      </w:pPr>
      <w:r>
        <w:rPr>
          <w:rFonts w:ascii="Century Gothic" w:hAnsi="Century Gothic"/>
          <w:b/>
          <w:bCs/>
        </w:rPr>
        <w:t>L’objectif de l’activité </w:t>
      </w:r>
      <w:r>
        <w:rPr>
          <w:rFonts w:ascii="Century Gothic" w:hAnsi="Century Gothic"/>
          <w:bCs/>
        </w:rPr>
        <w:t xml:space="preserve">est de renforcer le potentiel de séquestration des forêts et de satisfaire les besoins en fruits, légumes et bois des populations. </w:t>
      </w:r>
      <w:r>
        <w:rPr>
          <w:rFonts w:ascii="Century Gothic" w:hAnsi="Century Gothic"/>
          <w:b/>
        </w:rPr>
        <w:t>La m</w:t>
      </w:r>
      <w:r>
        <w:rPr>
          <w:rFonts w:ascii="Century Gothic" w:hAnsi="Century Gothic"/>
          <w:b/>
          <w:bCs/>
        </w:rPr>
        <w:t>éthode</w:t>
      </w:r>
      <w:r>
        <w:rPr>
          <w:rFonts w:ascii="Century Gothic" w:hAnsi="Century Gothic"/>
          <w:bCs/>
        </w:rPr>
        <w:t xml:space="preserve"> va</w:t>
      </w:r>
      <w:r>
        <w:rPr>
          <w:rFonts w:ascii="Century Gothic" w:hAnsi="Century Gothic"/>
          <w:bCs/>
        </w:rPr>
        <w:t xml:space="preserve"> reposer sur </w:t>
      </w:r>
      <w:r>
        <w:rPr>
          <w:rFonts w:ascii="Century Gothic" w:hAnsi="Century Gothic"/>
        </w:rPr>
        <w:t xml:space="preserve">l’appui en plants avec les espèces utilitaires aux producteurs et aux groupements pour la réalisation de plantations individuelles afin de renforcer les espaces agroforestiers. Pour chacun des </w:t>
      </w:r>
      <w:r>
        <w:rPr>
          <w:rFonts w:ascii="Century Gothic" w:hAnsi="Century Gothic"/>
        </w:rPr>
        <w:t xml:space="preserve">deux </w:t>
      </w:r>
      <w:r>
        <w:rPr>
          <w:rFonts w:ascii="Century Gothic" w:hAnsi="Century Gothic"/>
        </w:rPr>
        <w:t xml:space="preserve">villages de l’espace de conservation de </w:t>
      </w:r>
      <w:r>
        <w:rPr>
          <w:rFonts w:ascii="Century Gothic" w:hAnsi="Century Gothic"/>
        </w:rPr>
        <w:t>Gonré et Zenko-Yarcé</w:t>
      </w:r>
      <w:r>
        <w:rPr>
          <w:rFonts w:ascii="Century Gothic" w:hAnsi="Century Gothic"/>
        </w:rPr>
        <w:t xml:space="preserve">, cinquante (50) personnes seront sélectionnées, avec l’appui des CVD et bénéficieront chacun des </w:t>
      </w:r>
      <w:r>
        <w:rPr>
          <w:rFonts w:ascii="Century Gothic" w:hAnsi="Century Gothic"/>
        </w:rPr>
        <w:t>5</w:t>
      </w:r>
      <w:r>
        <w:rPr>
          <w:rFonts w:ascii="Century Gothic" w:hAnsi="Century Gothic"/>
        </w:rPr>
        <w:t xml:space="preserve">0 plants pour les plantations, haies, etc. Au total </w:t>
      </w:r>
      <w:r>
        <w:rPr>
          <w:rFonts w:ascii="Century Gothic" w:hAnsi="Century Gothic"/>
        </w:rPr>
        <w:t>5000</w:t>
      </w:r>
      <w:r>
        <w:rPr>
          <w:rFonts w:ascii="Century Gothic" w:hAnsi="Century Gothic"/>
        </w:rPr>
        <w:t xml:space="preserve"> plants seront reboisés par an pendant </w:t>
      </w:r>
      <w:r>
        <w:rPr>
          <w:rFonts w:ascii="Century Gothic" w:hAnsi="Century Gothic"/>
        </w:rPr>
        <w:t xml:space="preserve">trois </w:t>
      </w:r>
      <w:r>
        <w:rPr>
          <w:rFonts w:ascii="Century Gothic" w:hAnsi="Century Gothic"/>
        </w:rPr>
        <w:t>ans</w:t>
      </w:r>
      <w:r>
        <w:rPr>
          <w:rFonts w:ascii="Century Gothic" w:hAnsi="Century Gothic"/>
        </w:rPr>
        <w:t xml:space="preserve"> soit un total de </w:t>
      </w:r>
      <w:r>
        <w:rPr>
          <w:rFonts w:ascii="Century Gothic" w:hAnsi="Century Gothic"/>
        </w:rPr>
        <w:t>1</w:t>
      </w:r>
      <w:r>
        <w:rPr>
          <w:rFonts w:ascii="Century Gothic" w:hAnsi="Century Gothic"/>
        </w:rPr>
        <w:t>5 000 plants</w:t>
      </w:r>
      <w:r>
        <w:rPr>
          <w:rFonts w:ascii="Century Gothic" w:hAnsi="Century Gothic"/>
        </w:rPr>
        <w:t xml:space="preserve"> pour les trois premières années du projet</w:t>
      </w:r>
      <w:r>
        <w:rPr>
          <w:rFonts w:ascii="Century Gothic" w:hAnsi="Century Gothic"/>
        </w:rPr>
        <w:t xml:space="preserve">. Les plants seront achetés à l’an 1 du projet aux pépiniéristes de sorte à leur permettre de poursuivre l’activité pour les deux prochaines campagnes. </w:t>
      </w:r>
      <w:r>
        <w:rPr>
          <w:rFonts w:ascii="Century Gothic" w:hAnsi="Century Gothic"/>
          <w:b/>
        </w:rPr>
        <w:t>Les résultats attendu</w:t>
      </w:r>
      <w:r>
        <w:rPr>
          <w:rFonts w:ascii="Century Gothic" w:hAnsi="Century Gothic"/>
        </w:rPr>
        <w:t xml:space="preserve">s sont : (1) le potentiel de séquestration </w:t>
      </w:r>
      <w:r>
        <w:rPr>
          <w:rFonts w:ascii="Century Gothic" w:hAnsi="Century Gothic"/>
        </w:rPr>
        <w:t xml:space="preserve">des gaz à effet de serre </w:t>
      </w:r>
      <w:r>
        <w:rPr>
          <w:rFonts w:ascii="Century Gothic" w:hAnsi="Century Gothic"/>
        </w:rPr>
        <w:t xml:space="preserve">de </w:t>
      </w:r>
      <w:r>
        <w:rPr>
          <w:rFonts w:ascii="Century Gothic" w:hAnsi="Century Gothic"/>
        </w:rPr>
        <w:t xml:space="preserve">l’espace de conservation de </w:t>
      </w:r>
      <w:r>
        <w:rPr>
          <w:rFonts w:ascii="Century Gothic" w:hAnsi="Century Gothic"/>
          <w:spacing w:val="-1"/>
        </w:rPr>
        <w:t>Gonré</w:t>
      </w:r>
      <w:r>
        <w:rPr>
          <w:rFonts w:ascii="Century Gothic" w:hAnsi="Century Gothic"/>
          <w:i/>
          <w:spacing w:val="-1"/>
          <w:u w:val="single"/>
        </w:rPr>
        <w:t> </w:t>
      </w:r>
      <w:r>
        <w:rPr>
          <w:rFonts w:ascii="Century Gothic" w:hAnsi="Century Gothic"/>
        </w:rPr>
        <w:t xml:space="preserve"> </w:t>
      </w:r>
      <w:r>
        <w:rPr>
          <w:rFonts w:ascii="Century Gothic" w:hAnsi="Century Gothic"/>
        </w:rPr>
        <w:t>est renforcé et (2) la disponibilité des plants utilitaires dans les ménages est renforcée</w:t>
      </w:r>
      <w:r>
        <w:rPr>
          <w:rFonts w:ascii="Century Gothic" w:hAnsi="Century Gothic"/>
          <w:b/>
          <w:i/>
        </w:rPr>
        <w:t xml:space="preserve">. </w:t>
      </w:r>
      <w:r>
        <w:rPr>
          <w:rFonts w:ascii="Century Gothic" w:hAnsi="Century Gothic"/>
          <w:b/>
        </w:rPr>
        <w:t>Les impacts</w:t>
      </w:r>
      <w:r>
        <w:rPr>
          <w:rFonts w:ascii="Century Gothic" w:hAnsi="Century Gothic"/>
        </w:rPr>
        <w:t xml:space="preserve"> sont le renforcement du couvert végétal et la valorisation à moyen terme des plants reboisés (fruits, bois). </w:t>
      </w:r>
      <w:r>
        <w:rPr>
          <w:rFonts w:ascii="Century Gothic" w:hAnsi="Century Gothic"/>
          <w:b/>
        </w:rPr>
        <w:t>Les moyens humains</w:t>
      </w:r>
      <w:r>
        <w:rPr>
          <w:rFonts w:ascii="Century Gothic" w:hAnsi="Century Gothic"/>
        </w:rPr>
        <w:t xml:space="preserve"> sont constitués de l’expertise technique du service forestier et de la main d’œuvre des bénéficiaires pour les trouaisons, la plantation et les entretiens des plants reçus. </w:t>
      </w:r>
      <w:r>
        <w:rPr>
          <w:rFonts w:ascii="Century Gothic" w:hAnsi="Century Gothic"/>
          <w:b/>
        </w:rPr>
        <w:t>Les moyens matériels</w:t>
      </w:r>
      <w:r>
        <w:rPr>
          <w:rFonts w:ascii="Century Gothic" w:hAnsi="Century Gothic"/>
        </w:rPr>
        <w:t xml:space="preserve"> seront constitués de plants, de pic à gaz et de pelles, des mètres ruban …).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 Ces ressources seront financées par le budget du PDIC/REDD+ de </w:t>
      </w:r>
      <w:r>
        <w:rPr>
          <w:rFonts w:ascii="Century Gothic" w:hAnsi="Century Gothic"/>
        </w:rPr>
        <w:t>Zecco</w:t>
      </w:r>
      <w:r>
        <w:rPr>
          <w:rFonts w:ascii="Century Gothic" w:hAnsi="Century Gothic"/>
        </w:rPr>
        <w:t xml:space="preserve">. Les trouaisons, plantations et entretien des plantations seront la contribution des populations. L’organisation et la gestion de l’activité sera faite par la commune à travers le maire qui assure le rôle de coordinateur en collaboration avec, l’association Ga Mo Wigna, le service forestier.  </w:t>
      </w:r>
    </w:p>
    <w:p>
      <w:pPr>
        <w:pStyle w:val="style0"/>
        <w:widowControl w:val="false"/>
        <w:tabs>
          <w:tab w:val="left" w:leader="none" w:pos="9214"/>
          <w:tab w:val="left" w:leader="none" w:pos="9639"/>
        </w:tabs>
        <w:autoSpaceDE w:val="false"/>
        <w:autoSpaceDN w:val="false"/>
        <w:adjustRightInd w:val="false"/>
        <w:jc w:val="both"/>
        <w:rPr>
          <w:rFonts w:ascii="Century Gothic" w:hAnsi="Century Gothic"/>
        </w:rPr>
      </w:pPr>
    </w:p>
    <w:p>
      <w:pPr>
        <w:pStyle w:val="style0"/>
        <w:tabs>
          <w:tab w:val="left" w:leader="none" w:pos="9214"/>
          <w:tab w:val="left" w:leader="none" w:pos="9639"/>
        </w:tabs>
        <w:jc w:val="both"/>
        <w:rPr>
          <w:rFonts w:ascii="Century Gothic" w:hAnsi="Century Gothic"/>
          <w:i/>
        </w:rPr>
      </w:pPr>
      <w:r>
        <w:rPr>
          <w:rFonts w:ascii="Century Gothic" w:hAnsi="Century Gothic"/>
          <w:i/>
          <w:u w:val="single"/>
        </w:rPr>
        <w:t>Sous-Activité 4.1.2.1.1.4</w:t>
      </w:r>
      <w:r>
        <w:rPr>
          <w:rFonts w:ascii="Century Gothic" w:hAnsi="Century Gothic"/>
          <w:bCs/>
          <w:i/>
          <w:u w:val="single"/>
        </w:rPr>
        <w:t xml:space="preserve">. </w:t>
      </w:r>
      <w:r>
        <w:rPr>
          <w:rFonts w:ascii="Century Gothic" w:hAnsi="Century Gothic"/>
          <w:i/>
          <w:u w:val="single"/>
        </w:rPr>
        <w:t xml:space="preserve">Mettre en place un comité villageois de gestion de la forêt villageoise de </w:t>
      </w:r>
      <w:r>
        <w:rPr>
          <w:rFonts w:ascii="Century Gothic" w:hAnsi="Century Gothic"/>
          <w:i/>
          <w:u w:val="single"/>
        </w:rPr>
        <w:t>Gonré</w:t>
      </w:r>
      <w:r>
        <w:rPr>
          <w:rFonts w:ascii="Century Gothic" w:hAnsi="Century Gothic"/>
          <w:i/>
        </w:rPr>
        <w:t xml:space="preserve">. </w:t>
      </w:r>
    </w:p>
    <w:p>
      <w:pPr>
        <w:pStyle w:val="style0"/>
        <w:tabs>
          <w:tab w:val="left" w:leader="none" w:pos="9214"/>
          <w:tab w:val="left" w:leader="none" w:pos="9639"/>
        </w:tabs>
        <w:jc w:val="both"/>
        <w:rPr>
          <w:rFonts w:ascii="Century Gothic" w:hAnsi="Century Gothic"/>
          <w:i/>
        </w:rPr>
      </w:pPr>
    </w:p>
    <w:p>
      <w:pPr>
        <w:pStyle w:val="style0"/>
        <w:tabs>
          <w:tab w:val="left" w:leader="none" w:pos="9214"/>
          <w:tab w:val="left" w:leader="none" w:pos="9639"/>
        </w:tabs>
        <w:jc w:val="both"/>
        <w:rPr>
          <w:rFonts w:ascii="Century Gothic" w:hAnsi="Century Gothic"/>
        </w:rPr>
      </w:pPr>
      <w:r>
        <w:rPr>
          <w:rFonts w:ascii="Century Gothic" w:hAnsi="Century Gothic"/>
          <w:b/>
          <w:bCs/>
        </w:rPr>
        <w:t xml:space="preserve">L’objectif de l’activité </w:t>
      </w:r>
      <w:r>
        <w:rPr>
          <w:rFonts w:ascii="Century Gothic" w:hAnsi="Century Gothic"/>
          <w:bCs/>
        </w:rPr>
        <w:t xml:space="preserve">est de mettre en place un </w:t>
      </w:r>
      <w:r>
        <w:rPr>
          <w:rFonts w:ascii="Century Gothic" w:hAnsi="Century Gothic"/>
          <w:bCs/>
        </w:rPr>
        <w:t>outil de gouvernance</w:t>
      </w:r>
      <w:r>
        <w:rPr>
          <w:rFonts w:ascii="Century Gothic" w:hAnsi="Century Gothic"/>
          <w:bCs/>
        </w:rPr>
        <w:t xml:space="preserve"> qui favorise la gestion durable des ressources. </w:t>
      </w:r>
      <w:r>
        <w:rPr>
          <w:rFonts w:ascii="Century Gothic" w:hAnsi="Century Gothic"/>
          <w:b/>
          <w:bCs/>
        </w:rPr>
        <w:t>La méthode </w:t>
      </w:r>
      <w:r>
        <w:rPr>
          <w:rFonts w:ascii="Century Gothic" w:hAnsi="Century Gothic"/>
          <w:bCs/>
        </w:rPr>
        <w:t xml:space="preserve">va reposer sur </w:t>
      </w:r>
      <w:r>
        <w:rPr>
          <w:rFonts w:ascii="Century Gothic" w:hAnsi="Century Gothic"/>
          <w:bCs/>
        </w:rPr>
        <w:t xml:space="preserve">une consultation des acteurs qui désigneront leurs représentants au comité de gestion. La préparation de la mise en place de comité de gestion se fera </w:t>
      </w:r>
      <w:r>
        <w:rPr>
          <w:rFonts w:ascii="Century Gothic" w:hAnsi="Century Gothic"/>
          <w:bCs/>
        </w:rPr>
        <w:t>sous forme d’assemblée villageoises avec a participation de la mairie et des services techniques</w:t>
      </w:r>
      <w:r>
        <w:rPr>
          <w:rFonts w:ascii="Century Gothic" w:hAnsi="Century Gothic"/>
          <w:bCs/>
        </w:rPr>
        <w:t xml:space="preserve">. </w:t>
      </w:r>
      <w:r>
        <w:rPr>
          <w:rFonts w:ascii="Century Gothic" w:hAnsi="Century Gothic"/>
          <w:b/>
          <w:bCs/>
        </w:rPr>
        <w:t>Le résultat attendu</w:t>
      </w:r>
      <w:r>
        <w:rPr>
          <w:rFonts w:ascii="Century Gothic" w:hAnsi="Century Gothic"/>
          <w:bCs/>
        </w:rPr>
        <w:t xml:space="preserve"> est</w:t>
      </w:r>
      <w:r>
        <w:rPr>
          <w:rFonts w:ascii="Century Gothic" w:hAnsi="Century Gothic"/>
          <w:b/>
          <w:bCs/>
        </w:rPr>
        <w:t xml:space="preserve"> </w:t>
      </w:r>
      <w:r>
        <w:rPr>
          <w:rFonts w:ascii="Century Gothic" w:hAnsi="Century Gothic"/>
          <w:bCs/>
        </w:rPr>
        <w:t>que le</w:t>
      </w:r>
      <w:r>
        <w:rPr>
          <w:rFonts w:ascii="Century Gothic" w:hAnsi="Century Gothic"/>
        </w:rPr>
        <w:t xml:space="preserve"> comité villageois </w:t>
      </w:r>
      <w:r>
        <w:rPr>
          <w:rFonts w:ascii="Century Gothic" w:hAnsi="Century Gothic"/>
        </w:rPr>
        <w:t xml:space="preserve">de gestion </w:t>
      </w:r>
      <w:r>
        <w:rPr>
          <w:rFonts w:ascii="Century Gothic" w:hAnsi="Century Gothic"/>
        </w:rPr>
        <w:t xml:space="preserve">de la forêt de </w:t>
      </w:r>
      <w:r>
        <w:rPr>
          <w:rFonts w:ascii="Century Gothic" w:hAnsi="Century Gothic"/>
        </w:rPr>
        <w:t>Gonré</w:t>
      </w:r>
      <w:r>
        <w:rPr>
          <w:rFonts w:ascii="Century Gothic" w:hAnsi="Century Gothic"/>
        </w:rPr>
        <w:t xml:space="preserve"> </w:t>
      </w:r>
      <w:r>
        <w:rPr>
          <w:rFonts w:ascii="Century Gothic" w:hAnsi="Century Gothic"/>
        </w:rPr>
        <w:t xml:space="preserve">composé </w:t>
      </w:r>
      <w:r>
        <w:rPr>
          <w:rFonts w:ascii="Century Gothic" w:hAnsi="Century Gothic"/>
        </w:rPr>
        <w:t xml:space="preserve">de sept (7) membres jouissant d’une légitimité est mis en place et les ressources matérielles et financières de la forêt de </w:t>
      </w:r>
      <w:r>
        <w:rPr>
          <w:rFonts w:ascii="Century Gothic" w:hAnsi="Century Gothic"/>
        </w:rPr>
        <w:t>Gonré</w:t>
      </w:r>
      <w:r>
        <w:rPr>
          <w:rFonts w:ascii="Century Gothic" w:hAnsi="Century Gothic"/>
        </w:rPr>
        <w:t xml:space="preserve"> sont gérées durablement</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documents papiers (documents statutaires, </w:t>
      </w:r>
      <w:r>
        <w:rPr>
          <w:rFonts w:ascii="Century Gothic" w:hAnsi="Century Gothic"/>
        </w:rPr>
        <w:t>Procès-Verbal</w:t>
      </w:r>
      <w:r>
        <w:rPr>
          <w:rFonts w:ascii="Century Gothic" w:hAnsi="Century Gothic"/>
        </w:rPr>
        <w:t xml:space="preserve"> d’Assemblée Générale, </w:t>
      </w:r>
      <w:r>
        <w:rPr>
          <w:rFonts w:ascii="Century Gothic" w:hAnsi="Century Gothic"/>
        </w:rPr>
        <w:t>document</w:t>
      </w:r>
      <w:r>
        <w:rPr>
          <w:rFonts w:ascii="Century Gothic" w:hAnsi="Century Gothic"/>
        </w:rPr>
        <w:t xml:space="preserve"> de reconnaissance) et </w:t>
      </w:r>
      <w:r>
        <w:rPr>
          <w:rFonts w:ascii="Century Gothic" w:hAnsi="Century Gothic"/>
          <w:b/>
        </w:rPr>
        <w:t>moyens humains</w:t>
      </w:r>
      <w:r>
        <w:rPr>
          <w:rFonts w:ascii="Century Gothic" w:hAnsi="Century Gothic"/>
        </w:rPr>
        <w:t xml:space="preserve"> </w:t>
      </w:r>
      <w:r>
        <w:rPr>
          <w:rFonts w:ascii="Century Gothic" w:hAnsi="Century Gothic"/>
        </w:rPr>
        <w:t xml:space="preserve">seront </w:t>
      </w:r>
      <w:r>
        <w:rPr>
          <w:rFonts w:ascii="Century Gothic" w:hAnsi="Century Gothic"/>
        </w:rPr>
        <w:t>constitués de l’expertise technique d</w:t>
      </w:r>
      <w:r>
        <w:rPr>
          <w:rFonts w:ascii="Century Gothic" w:hAnsi="Century Gothic"/>
        </w:rPr>
        <w:t>u service de l’agriculture</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en charge </w:t>
      </w:r>
      <w:r>
        <w:rPr>
          <w:rFonts w:ascii="Century Gothic" w:hAnsi="Century Gothic"/>
        </w:rPr>
        <w:t xml:space="preserve">du représentant </w:t>
      </w:r>
      <w:r>
        <w:rPr>
          <w:rFonts w:ascii="Century Gothic" w:hAnsi="Century Gothic"/>
          <w:bCs/>
        </w:rPr>
        <w:t>de la mairie et des services techniques</w:t>
      </w:r>
      <w:r>
        <w:rPr>
          <w:rFonts w:ascii="Century Gothic" w:hAnsi="Century Gothic"/>
        </w:rPr>
        <w:t xml:space="preserve"> </w:t>
      </w:r>
      <w:r>
        <w:rPr>
          <w:rFonts w:ascii="Century Gothic" w:hAnsi="Century Gothic"/>
        </w:rPr>
        <w:t xml:space="preserve">et </w:t>
      </w:r>
      <w:r>
        <w:rPr>
          <w:rFonts w:ascii="Century Gothic" w:hAnsi="Century Gothic"/>
        </w:rPr>
        <w:t>les frais de rafraîchissement lors des assemblées villageoises</w:t>
      </w:r>
      <w:r>
        <w:rPr>
          <w:rFonts w:ascii="Century Gothic" w:hAnsi="Century Gothic"/>
        </w:rPr>
        <w:t xml:space="preserve">. Ces ressources seront financées par le budget du </w:t>
      </w:r>
      <w:r>
        <w:rPr>
          <w:rFonts w:ascii="Century Gothic" w:hAnsi="Century Gothic"/>
        </w:rPr>
        <w:t xml:space="preserve">PDIC/REDD+ de </w:t>
      </w:r>
      <w:r>
        <w:rPr>
          <w:rFonts w:ascii="Century Gothic" w:hAnsi="Century Gothic"/>
        </w:rPr>
        <w:t>Zecco</w:t>
      </w:r>
      <w:r>
        <w:rPr>
          <w:rFonts w:ascii="Century Gothic" w:hAnsi="Century Gothic"/>
        </w:rPr>
        <w:t xml:space="preserve">. </w:t>
      </w:r>
      <w:r>
        <w:rPr>
          <w:rFonts w:ascii="Century Gothic" w:hAnsi="Century Gothic"/>
        </w:rPr>
        <w:t>L’organisation et la gestion de l’activité sera faite par la commune qui assure le rôle de coordination.</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b/>
          <w:bCs/>
          <w:i/>
        </w:rPr>
      </w:pPr>
      <w:r>
        <w:rPr>
          <w:rFonts w:ascii="Century Gothic" w:hAnsi="Century Gothic"/>
          <w:i/>
          <w:u w:val="single"/>
        </w:rPr>
        <w:t>Sous-Activité 4.1.2.1.1.5</w:t>
      </w:r>
      <w:r>
        <w:rPr>
          <w:rFonts w:ascii="Century Gothic" w:hAnsi="Century Gothic"/>
          <w:bCs/>
          <w:i/>
          <w:u w:val="single"/>
        </w:rPr>
        <w:t xml:space="preserve">. Former/ recycler 07 membres du comité de gestion / suivi de la charte sur leurs attributions dans l’espace de conservation de </w:t>
      </w:r>
      <w:r>
        <w:rPr>
          <w:rFonts w:ascii="Century Gothic" w:hAnsi="Century Gothic"/>
          <w:bCs/>
          <w:i/>
          <w:u w:val="single"/>
        </w:rPr>
        <w:t>Gonré</w:t>
      </w:r>
      <w:r>
        <w:rPr>
          <w:rFonts w:ascii="Century Gothic" w:hAnsi="Century Gothic"/>
          <w:bCs/>
          <w:i/>
          <w:u w:val="single"/>
        </w:rPr>
        <w:t>.</w:t>
      </w:r>
      <w:r>
        <w:rPr>
          <w:rFonts w:ascii="Century Gothic" w:hAnsi="Century Gothic"/>
          <w:b/>
          <w:bCs/>
          <w:i/>
        </w:rPr>
        <w:t xml:space="preserve"> </w:t>
      </w:r>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rPr>
          <w:rFonts w:ascii="Century Gothic" w:hAnsi="Century Gothic"/>
          <w:bCs/>
        </w:rPr>
      </w:pPr>
      <w:r>
        <w:rPr>
          <w:rFonts w:ascii="Century Gothic" w:hAnsi="Century Gothic"/>
          <w:b/>
          <w:bCs/>
        </w:rPr>
        <w:t>L’objectif de l’activité</w:t>
      </w:r>
      <w:r>
        <w:rPr>
          <w:rFonts w:ascii="Century Gothic" w:hAnsi="Century Gothic"/>
          <w:bCs/>
        </w:rPr>
        <w:t xml:space="preserve"> est de permettre </w:t>
      </w:r>
      <w:r>
        <w:rPr>
          <w:rFonts w:ascii="Century Gothic" w:hAnsi="Century Gothic"/>
          <w:bCs/>
        </w:rPr>
        <w:t xml:space="preserve">au comité de gestion </w:t>
      </w:r>
      <w:r>
        <w:rPr>
          <w:rFonts w:ascii="Century Gothic" w:hAnsi="Century Gothic"/>
          <w:bCs/>
        </w:rPr>
        <w:t xml:space="preserve">d’exercer pleinement leurs missions de gestion/suivi de la mise en œuvre de la charte au niveau local. </w:t>
      </w:r>
      <w:r>
        <w:rPr>
          <w:rFonts w:ascii="Century Gothic" w:hAnsi="Century Gothic"/>
          <w:b/>
          <w:bCs/>
        </w:rPr>
        <w:t>La méthode </w:t>
      </w:r>
      <w:r>
        <w:rPr>
          <w:rFonts w:ascii="Century Gothic" w:hAnsi="Century Gothic"/>
          <w:bCs/>
        </w:rPr>
        <w:t>reposera sur</w:t>
      </w:r>
      <w:r>
        <w:rPr>
          <w:rFonts w:ascii="Century Gothic" w:hAnsi="Century Gothic"/>
          <w:b/>
          <w:bCs/>
        </w:rPr>
        <w:t xml:space="preserve"> </w:t>
      </w:r>
      <w:r>
        <w:rPr>
          <w:rFonts w:ascii="Century Gothic" w:hAnsi="Century Gothic"/>
          <w:bCs/>
        </w:rPr>
        <w:t>une</w:t>
      </w:r>
      <w:r>
        <w:rPr>
          <w:rFonts w:ascii="Century Gothic" w:hAnsi="Century Gothic"/>
          <w:bCs/>
        </w:rPr>
        <w:t xml:space="preserve"> formation initiale d’une journée</w:t>
      </w:r>
      <w:r>
        <w:rPr>
          <w:rFonts w:ascii="Century Gothic" w:hAnsi="Century Gothic"/>
          <w:bCs/>
        </w:rPr>
        <w:t xml:space="preserve"> suivie d’une session de </w:t>
      </w:r>
      <w:r>
        <w:rPr>
          <w:rFonts w:ascii="Century Gothic" w:hAnsi="Century Gothic"/>
          <w:bCs/>
        </w:rPr>
        <w:t>recyclage et de suivi in situ. L’animation de</w:t>
      </w:r>
      <w:r>
        <w:rPr>
          <w:rFonts w:ascii="Century Gothic" w:hAnsi="Century Gothic"/>
          <w:bCs/>
        </w:rPr>
        <w:t xml:space="preserve"> la</w:t>
      </w:r>
      <w:r>
        <w:rPr>
          <w:rFonts w:ascii="Century Gothic" w:hAnsi="Century Gothic"/>
          <w:bCs/>
        </w:rPr>
        <w:t xml:space="preserve"> formation</w:t>
      </w:r>
      <w:r>
        <w:rPr>
          <w:rFonts w:ascii="Century Gothic" w:hAnsi="Century Gothic"/>
          <w:bCs/>
        </w:rPr>
        <w:t xml:space="preserve"> et du </w:t>
      </w:r>
      <w:r>
        <w:rPr>
          <w:rFonts w:ascii="Century Gothic" w:hAnsi="Century Gothic"/>
          <w:bCs/>
        </w:rPr>
        <w:t>recyclage sera assurée par l’agent SFR</w:t>
      </w:r>
      <w:r>
        <w:rPr>
          <w:rFonts w:ascii="Century Gothic" w:hAnsi="Century Gothic"/>
          <w:bCs/>
        </w:rPr>
        <w:t xml:space="preserve"> de Tiébélé</w:t>
      </w:r>
      <w:r>
        <w:rPr>
          <w:rFonts w:ascii="Century Gothic" w:hAnsi="Century Gothic"/>
          <w:bCs/>
        </w:rPr>
        <w:t xml:space="preserve"> </w:t>
      </w:r>
      <w:r>
        <w:rPr>
          <w:rFonts w:ascii="Century Gothic" w:hAnsi="Century Gothic"/>
          <w:bCs/>
        </w:rPr>
        <w:t xml:space="preserve">(Zecco n’ayant pas de service foncier opérationnel) </w:t>
      </w:r>
      <w:r>
        <w:rPr>
          <w:rFonts w:ascii="Century Gothic" w:hAnsi="Century Gothic"/>
          <w:bCs/>
        </w:rPr>
        <w:t>avec l’appui du service départemental en charge de l’</w:t>
      </w:r>
      <w:r>
        <w:rPr>
          <w:rFonts w:ascii="Century Gothic" w:hAnsi="Century Gothic"/>
          <w:bCs/>
        </w:rPr>
        <w:t>agriculture</w:t>
      </w:r>
      <w:r>
        <w:rPr>
          <w:rFonts w:ascii="Century Gothic" w:hAnsi="Century Gothic"/>
          <w:bCs/>
        </w:rPr>
        <w:t xml:space="preserve"> de Zecco</w:t>
      </w:r>
      <w:r>
        <w:rPr>
          <w:rFonts w:ascii="Century Gothic" w:hAnsi="Century Gothic"/>
          <w:bCs/>
        </w:rPr>
        <w:t xml:space="preserve">. </w:t>
      </w:r>
      <w:r>
        <w:rPr>
          <w:rFonts w:ascii="Century Gothic" w:hAnsi="Century Gothic"/>
          <w:b/>
          <w:bCs/>
        </w:rPr>
        <w:t>Les résultats attendus </w:t>
      </w:r>
      <w:r>
        <w:rPr>
          <w:rFonts w:ascii="Century Gothic" w:hAnsi="Century Gothic"/>
          <w:bCs/>
        </w:rPr>
        <w:t xml:space="preserve">sont que </w:t>
      </w:r>
      <w:r>
        <w:rPr>
          <w:rFonts w:ascii="Century Gothic" w:hAnsi="Century Gothic"/>
          <w:bCs/>
        </w:rPr>
        <w:t>(1) les</w:t>
      </w:r>
      <w:r>
        <w:rPr>
          <w:rFonts w:ascii="Century Gothic" w:hAnsi="Century Gothic"/>
          <w:bCs/>
        </w:rPr>
        <w:t xml:space="preserve"> membres du comité de inter-villageois de gestion/suivi de l’espace de conservation de </w:t>
      </w:r>
      <w:r>
        <w:rPr>
          <w:rFonts w:ascii="Century Gothic" w:hAnsi="Century Gothic"/>
          <w:bCs/>
        </w:rPr>
        <w:t>Gonré</w:t>
      </w:r>
      <w:r>
        <w:rPr>
          <w:rFonts w:ascii="Century Gothic" w:hAnsi="Century Gothic"/>
          <w:bCs/>
        </w:rPr>
        <w:t xml:space="preserve"> renforcent leurs capacités à l’exercice de leur mission et </w:t>
      </w:r>
      <w:r>
        <w:rPr>
          <w:rFonts w:ascii="Century Gothic" w:hAnsi="Century Gothic"/>
          <w:bCs/>
        </w:rPr>
        <w:t xml:space="preserve">(2) </w:t>
      </w:r>
      <w:r>
        <w:rPr>
          <w:rFonts w:ascii="Century Gothic" w:hAnsi="Century Gothic"/>
          <w:bCs/>
        </w:rPr>
        <w:t>sont capables d’informer/sensibiliser sainement les popula</w:t>
      </w:r>
      <w:r>
        <w:rPr>
          <w:rFonts w:ascii="Century Gothic" w:hAnsi="Century Gothic"/>
          <w:bCs/>
        </w:rPr>
        <w:t>tions riveraines sur sa gestion</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documents papiers (fournitures) et </w:t>
      </w:r>
      <w:r>
        <w:rPr>
          <w:rFonts w:ascii="Century Gothic" w:hAnsi="Century Gothic"/>
          <w:b/>
        </w:rPr>
        <w:t>moyens humains</w:t>
      </w:r>
      <w:r>
        <w:rPr>
          <w:rFonts w:ascii="Century Gothic" w:hAnsi="Century Gothic"/>
        </w:rPr>
        <w:t xml:space="preserve"> constitués de l’expertise </w:t>
      </w:r>
      <w:r>
        <w:rPr>
          <w:rFonts w:ascii="Century Gothic" w:hAnsi="Century Gothic"/>
          <w:bCs/>
        </w:rPr>
        <w:t>l’agent SFR de Tiébélé</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en charge et rencontres. Ces ressources seront financées par le budget du </w:t>
      </w:r>
      <w:r>
        <w:rPr>
          <w:rFonts w:ascii="Century Gothic" w:hAnsi="Century Gothic"/>
        </w:rPr>
        <w:t xml:space="preserve">PDIC/REDD+ de </w:t>
      </w:r>
      <w:r>
        <w:rPr>
          <w:rFonts w:ascii="Century Gothic" w:hAnsi="Century Gothic"/>
        </w:rPr>
        <w:t>Zecco</w:t>
      </w:r>
      <w:r>
        <w:rPr>
          <w:rFonts w:ascii="Century Gothic" w:hAnsi="Century Gothic"/>
        </w:rPr>
        <w:t xml:space="preserve">. </w:t>
      </w:r>
      <w:r>
        <w:rPr>
          <w:rFonts w:ascii="Century Gothic" w:hAnsi="Century Gothic"/>
        </w:rPr>
        <w:t xml:space="preserve">L’organisation et la gestion de l’activité sera faite par le </w:t>
      </w:r>
      <w:r>
        <w:rPr>
          <w:rFonts w:ascii="Century Gothic" w:hAnsi="Century Gothic"/>
        </w:rPr>
        <w:t>maire</w:t>
      </w:r>
      <w:r>
        <w:rPr>
          <w:rFonts w:ascii="Century Gothic" w:hAnsi="Century Gothic"/>
        </w:rPr>
        <w:t xml:space="preserve"> qui assure le rôle de coordination de l’activité</w:t>
      </w:r>
      <w:r>
        <w:rPr>
          <w:rFonts w:ascii="Century Gothic" w:hAnsi="Century Gothic"/>
        </w:rPr>
        <w:t xml:space="preserve"> en collaboration avec le comité de gestion</w:t>
      </w:r>
      <w:r>
        <w:rPr>
          <w:rFonts w:ascii="Century Gothic" w:hAnsi="Century Gothic"/>
        </w:rPr>
        <w:t xml:space="preserve">.  </w:t>
      </w:r>
    </w:p>
    <w:p>
      <w:pPr>
        <w:pStyle w:val="style0"/>
        <w:tabs>
          <w:tab w:val="left" w:leader="none" w:pos="9214"/>
          <w:tab w:val="left" w:leader="none" w:pos="9639"/>
        </w:tabs>
        <w:jc w:val="both"/>
        <w:rPr>
          <w:rFonts w:ascii="Century Gothic" w:hAnsi="Century Gothic"/>
          <w:b/>
          <w:bCs/>
        </w:rPr>
      </w:pPr>
    </w:p>
    <w:bookmarkStart w:id="22" w:name="_Toc11658553"/>
    <w:p>
      <w:pPr>
        <w:pStyle w:val="style0"/>
        <w:tabs>
          <w:tab w:val="left" w:leader="none" w:pos="9214"/>
          <w:tab w:val="left" w:leader="none" w:pos="9639"/>
        </w:tabs>
        <w:jc w:val="both"/>
        <w:outlineLvl w:val="3"/>
        <w:rPr>
          <w:rFonts w:ascii="Century Gothic" w:hAnsi="Century Gothic"/>
          <w:i/>
          <w:u w:val="single"/>
        </w:rPr>
      </w:pPr>
      <w:r>
        <w:rPr>
          <w:rFonts w:ascii="Century Gothic" w:hAnsi="Century Gothic"/>
          <w:i/>
          <w:u w:val="single"/>
        </w:rPr>
        <w:t>Sous-Activité 4.1.2.1.1.6</w:t>
      </w:r>
      <w:r>
        <w:rPr>
          <w:rFonts w:ascii="Century Gothic" w:hAnsi="Century Gothic"/>
          <w:bCs/>
          <w:i/>
          <w:u w:val="single"/>
        </w:rPr>
        <w:t xml:space="preserve">. </w:t>
      </w:r>
      <w:r>
        <w:rPr>
          <w:rFonts w:ascii="Century Gothic" w:hAnsi="Century Gothic"/>
          <w:i/>
          <w:u w:val="single"/>
        </w:rPr>
        <w:t xml:space="preserve">Elaborer une charte </w:t>
      </w:r>
      <w:r>
        <w:rPr>
          <w:rFonts w:ascii="Century Gothic" w:hAnsi="Century Gothic"/>
          <w:i/>
          <w:u w:val="single"/>
        </w:rPr>
        <w:t xml:space="preserve">foncière </w:t>
      </w:r>
      <w:r>
        <w:rPr>
          <w:rFonts w:ascii="Century Gothic" w:hAnsi="Century Gothic"/>
          <w:i/>
          <w:u w:val="single"/>
        </w:rPr>
        <w:t xml:space="preserve">locale </w:t>
      </w:r>
      <w:bookmarkEnd w:id="22"/>
      <w:r>
        <w:rPr>
          <w:rFonts w:ascii="Century Gothic" w:hAnsi="Century Gothic"/>
          <w:i/>
          <w:u w:val="single"/>
        </w:rPr>
        <w:t xml:space="preserve">de la forêt de </w:t>
      </w:r>
      <w:r>
        <w:rPr>
          <w:rFonts w:ascii="Century Gothic" w:hAnsi="Century Gothic"/>
          <w:i/>
          <w:u w:val="single"/>
        </w:rPr>
        <w:t>Gonré</w:t>
      </w:r>
    </w:p>
    <w:p>
      <w:pPr>
        <w:pStyle w:val="style0"/>
        <w:tabs>
          <w:tab w:val="left" w:leader="none" w:pos="9214"/>
          <w:tab w:val="left" w:leader="none" w:pos="9639"/>
        </w:tabs>
        <w:jc w:val="both"/>
        <w:outlineLvl w:val="3"/>
        <w:rPr>
          <w:rFonts w:ascii="Century Gothic" w:hAnsi="Century Gothic"/>
          <w:i/>
          <w:u w:val="single"/>
        </w:rPr>
      </w:pPr>
    </w:p>
    <w:p>
      <w:pPr>
        <w:pStyle w:val="style0"/>
        <w:tabs>
          <w:tab w:val="left" w:leader="none" w:pos="9214"/>
          <w:tab w:val="left" w:leader="none" w:pos="9639"/>
        </w:tabs>
        <w:jc w:val="both"/>
        <w:outlineLvl w:val="3"/>
        <w:rPr>
          <w:rFonts w:ascii="Century Gothic" w:hAnsi="Century Gothic"/>
        </w:rPr>
      </w:pPr>
      <w:r>
        <w:rPr>
          <w:rFonts w:ascii="Century Gothic" w:hAnsi="Century Gothic"/>
          <w:b/>
        </w:rPr>
        <w:t>L’objectif</w:t>
      </w:r>
      <w:r>
        <w:rPr>
          <w:rFonts w:ascii="Century Gothic" w:hAnsi="Century Gothic"/>
        </w:rPr>
        <w:t xml:space="preserve"> </w:t>
      </w:r>
      <w:r>
        <w:rPr>
          <w:rFonts w:ascii="Century Gothic" w:hAnsi="Century Gothic"/>
        </w:rPr>
        <w:t xml:space="preserve">est </w:t>
      </w:r>
      <w:r>
        <w:rPr>
          <w:rFonts w:ascii="Century Gothic" w:hAnsi="Century Gothic"/>
        </w:rPr>
        <w:t>de doter l</w:t>
      </w:r>
      <w:r>
        <w:rPr>
          <w:rFonts w:ascii="Century Gothic" w:hAnsi="Century Gothic"/>
        </w:rPr>
        <w:t xml:space="preserve">a forêt villageoise de </w:t>
      </w:r>
      <w:r>
        <w:rPr>
          <w:rFonts w:ascii="Century Gothic" w:hAnsi="Century Gothic"/>
        </w:rPr>
        <w:t>Gonré</w:t>
      </w:r>
      <w:r>
        <w:rPr>
          <w:rFonts w:ascii="Century Gothic" w:hAnsi="Century Gothic"/>
        </w:rPr>
        <w:t xml:space="preserve"> d’un </w:t>
      </w:r>
      <w:r>
        <w:rPr>
          <w:rFonts w:ascii="Century Gothic" w:hAnsi="Century Gothic"/>
        </w:rPr>
        <w:t>outil</w:t>
      </w:r>
      <w:r>
        <w:rPr>
          <w:rFonts w:ascii="Century Gothic" w:hAnsi="Century Gothic"/>
        </w:rPr>
        <w:t xml:space="preserve"> </w:t>
      </w:r>
      <w:r>
        <w:rPr>
          <w:rFonts w:ascii="Century Gothic" w:hAnsi="Century Gothic"/>
        </w:rPr>
        <w:t xml:space="preserve">nécessaires à sa bonne gestion afin d’assurer sa durabilité.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consistera à élaborer les TDR et envoyer une correspondance à trois consultants parmi lesquels un sera recruté pour </w:t>
      </w:r>
      <w:r>
        <w:rPr>
          <w:rFonts w:ascii="Century Gothic" w:hAnsi="Century Gothic"/>
        </w:rPr>
        <w:t>conduire le processus</w:t>
      </w:r>
      <w:r>
        <w:rPr>
          <w:rFonts w:ascii="Century Gothic" w:hAnsi="Century Gothic"/>
        </w:rPr>
        <w:t xml:space="preserve">. </w:t>
      </w:r>
      <w:r>
        <w:rPr>
          <w:rFonts w:ascii="Century Gothic" w:hAnsi="Century Gothic"/>
          <w:b/>
        </w:rPr>
        <w:t>Le résultat</w:t>
      </w:r>
      <w:r>
        <w:rPr>
          <w:rFonts w:ascii="Century Gothic" w:hAnsi="Century Gothic"/>
        </w:rPr>
        <w:t xml:space="preserve"> </w:t>
      </w:r>
      <w:r>
        <w:rPr>
          <w:rFonts w:ascii="Century Gothic" w:hAnsi="Century Gothic"/>
          <w:b/>
        </w:rPr>
        <w:t>attendu</w:t>
      </w:r>
      <w:r>
        <w:rPr>
          <w:rFonts w:ascii="Century Gothic" w:hAnsi="Century Gothic"/>
        </w:rPr>
        <w:t xml:space="preserve"> est que la forêt de Gonré dispose d’un document consensuel de gestion</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impliqués sont le </w:t>
      </w:r>
      <w:r>
        <w:rPr>
          <w:rFonts w:ascii="Century Gothic" w:cs="Calibri" w:hAnsi="Century Gothic"/>
          <w:color w:val="000000"/>
        </w:rPr>
        <w:t>comité de gestion</w:t>
      </w:r>
      <w:r>
        <w:rPr>
          <w:rFonts w:ascii="Century Gothic" w:cs="Calibri" w:hAnsi="Century Gothic"/>
          <w:color w:val="000000"/>
        </w:rPr>
        <w:t xml:space="preserve">, la Mairie de </w:t>
      </w:r>
      <w:r>
        <w:rPr>
          <w:rFonts w:ascii="Century Gothic" w:cs="Calibri" w:hAnsi="Century Gothic"/>
          <w:color w:val="000000"/>
        </w:rPr>
        <w:t>Zecco</w:t>
      </w:r>
      <w:r>
        <w:rPr>
          <w:rFonts w:ascii="Century Gothic" w:cs="Calibri" w:hAnsi="Century Gothic"/>
          <w:color w:val="000000"/>
        </w:rPr>
        <w:t xml:space="preserve">, les services </w:t>
      </w:r>
      <w:r>
        <w:rPr>
          <w:rFonts w:ascii="Century Gothic" w:cs="Calibri" w:hAnsi="Century Gothic"/>
          <w:color w:val="000000"/>
        </w:rPr>
        <w:t>de l’agriculture</w:t>
      </w:r>
      <w:r>
        <w:rPr>
          <w:rFonts w:ascii="Century Gothic" w:cs="Calibri" w:hAnsi="Century Gothic"/>
          <w:color w:val="000000"/>
        </w:rPr>
        <w:t xml:space="preserve">, </w:t>
      </w:r>
      <w:r>
        <w:rPr>
          <w:rFonts w:ascii="Century Gothic" w:cs="Calibri" w:hAnsi="Century Gothic"/>
          <w:color w:val="000000"/>
        </w:rPr>
        <w:t>de l’</w:t>
      </w:r>
      <w:r>
        <w:rPr>
          <w:rFonts w:ascii="Century Gothic" w:cs="Calibri" w:hAnsi="Century Gothic"/>
          <w:color w:val="000000"/>
        </w:rPr>
        <w:t xml:space="preserve">environnement, </w:t>
      </w:r>
      <w:r>
        <w:rPr>
          <w:rFonts w:ascii="Century Gothic" w:cs="Calibri" w:hAnsi="Century Gothic"/>
          <w:color w:val="000000"/>
        </w:rPr>
        <w:t>des ressources animales</w:t>
      </w:r>
      <w:r>
        <w:rPr>
          <w:rFonts w:ascii="Century Gothic" w:cs="Calibri" w:hAnsi="Century Gothic"/>
          <w:color w:val="000000"/>
        </w:rPr>
        <w:t xml:space="preserve">, </w:t>
      </w:r>
      <w:r>
        <w:rPr>
          <w:rFonts w:ascii="Century Gothic" w:cs="Calibri" w:hAnsi="Century Gothic"/>
          <w:color w:val="000000"/>
        </w:rPr>
        <w:t xml:space="preserve">les </w:t>
      </w:r>
      <w:r>
        <w:rPr>
          <w:rFonts w:ascii="Century Gothic" w:cs="Calibri" w:hAnsi="Century Gothic"/>
          <w:color w:val="000000"/>
        </w:rPr>
        <w:t>leaders coutumier</w:t>
      </w:r>
      <w:r>
        <w:rPr>
          <w:rFonts w:ascii="Century Gothic" w:cs="Calibri" w:hAnsi="Century Gothic"/>
          <w:color w:val="000000"/>
        </w:rPr>
        <w:t>s</w:t>
      </w:r>
      <w:r>
        <w:rPr>
          <w:rFonts w:ascii="Century Gothic" w:cs="Calibri" w:hAnsi="Century Gothic"/>
          <w:color w:val="000000"/>
        </w:rPr>
        <w:t xml:space="preserve"> et religieux de </w:t>
      </w:r>
      <w:r>
        <w:rPr>
          <w:rFonts w:ascii="Century Gothic" w:cs="Calibri" w:hAnsi="Century Gothic"/>
          <w:color w:val="000000"/>
        </w:rPr>
        <w:t>Gonré</w:t>
      </w:r>
      <w:r>
        <w:rPr>
          <w:rFonts w:ascii="Century Gothic" w:cs="Calibri" w:hAnsi="Century Gothic"/>
          <w:color w:val="000000"/>
        </w:rPr>
        <w:t xml:space="preserve">, </w:t>
      </w:r>
      <w:r>
        <w:rPr>
          <w:rFonts w:ascii="Century Gothic" w:cs="Calibri" w:hAnsi="Century Gothic"/>
          <w:color w:val="000000"/>
        </w:rPr>
        <w:t xml:space="preserve">la </w:t>
      </w:r>
      <w:r>
        <w:rPr>
          <w:rFonts w:ascii="Century Gothic" w:cs="Calibri" w:hAnsi="Century Gothic"/>
          <w:color w:val="000000"/>
        </w:rPr>
        <w:t>préfecture</w:t>
      </w:r>
      <w:r>
        <w:rPr>
          <w:rFonts w:ascii="Century Gothic" w:cs="Calibri" w:hAnsi="Century Gothic"/>
          <w:color w:val="000000"/>
        </w:rPr>
        <w:t xml:space="preserve"> de </w:t>
      </w:r>
      <w:r>
        <w:rPr>
          <w:rFonts w:ascii="Century Gothic" w:cs="Calibri" w:hAnsi="Century Gothic"/>
          <w:color w:val="000000"/>
        </w:rPr>
        <w:t>Zecco</w:t>
      </w:r>
      <w:r>
        <w:rPr>
          <w:rFonts w:ascii="Century Gothic" w:cs="Calibri" w:hAnsi="Century Gothic"/>
          <w:color w:val="000000"/>
        </w:rPr>
        <w:t xml:space="preserve"> et</w:t>
      </w:r>
      <w:r>
        <w:rPr>
          <w:rFonts w:ascii="Century Gothic" w:hAnsi="Century Gothic"/>
        </w:rPr>
        <w:t xml:space="preserve"> le consultant</w:t>
      </w:r>
      <w:r>
        <w:rPr>
          <w:rFonts w:ascii="Century Gothic" w:hAnsi="Century Gothic"/>
        </w:rPr>
        <w:t xml:space="preserve">. </w:t>
      </w:r>
      <w:r>
        <w:rPr>
          <w:rFonts w:ascii="Century Gothic" w:hAnsi="Century Gothic"/>
          <w:b/>
        </w:rPr>
        <w:t>L</w:t>
      </w:r>
      <w:r>
        <w:rPr>
          <w:rFonts w:ascii="Century Gothic" w:hAnsi="Century Gothic"/>
          <w:b/>
        </w:rPr>
        <w:t>es</w:t>
      </w:r>
      <w:r>
        <w:rPr>
          <w:rFonts w:ascii="Century Gothic" w:hAnsi="Century Gothic"/>
        </w:rPr>
        <w:t xml:space="preserve"> </w:t>
      </w:r>
      <w:r>
        <w:rPr>
          <w:rFonts w:ascii="Century Gothic" w:hAnsi="Century Gothic"/>
          <w:b/>
        </w:rPr>
        <w:t>moyens financiers</w:t>
      </w:r>
      <w:r>
        <w:rPr>
          <w:rFonts w:ascii="Century Gothic" w:hAnsi="Century Gothic"/>
          <w:b/>
        </w:rPr>
        <w:t xml:space="preserve"> </w:t>
      </w:r>
      <w:r>
        <w:rPr>
          <w:rFonts w:ascii="Century Gothic" w:hAnsi="Century Gothic"/>
        </w:rPr>
        <w:t>sont</w:t>
      </w:r>
      <w:r>
        <w:rPr>
          <w:rFonts w:ascii="Century Gothic" w:hAnsi="Century Gothic"/>
          <w:b/>
        </w:rPr>
        <w:t xml:space="preserve"> </w:t>
      </w:r>
      <w:r>
        <w:rPr>
          <w:rFonts w:ascii="Century Gothic" w:hAnsi="Century Gothic"/>
        </w:rPr>
        <w:t xml:space="preserve">composés des honoraires du consultants, la pause-café et la prise charge des participants </w:t>
      </w:r>
      <w:r>
        <w:rPr>
          <w:rFonts w:ascii="Century Gothic" w:hAnsi="Century Gothic"/>
        </w:rPr>
        <w:t>lors des rencontres</w:t>
      </w:r>
      <w:r>
        <w:rPr>
          <w:rFonts w:ascii="Century Gothic" w:hAnsi="Century Gothic"/>
        </w:rPr>
        <w:t xml:space="preserve">. </w:t>
      </w:r>
      <w:r>
        <w:rPr>
          <w:rFonts w:ascii="Century Gothic" w:hAnsi="Century Gothic"/>
        </w:rPr>
        <w:t xml:space="preserve">Ces ressources seront financées par le budget du </w:t>
      </w:r>
      <w:r>
        <w:rPr>
          <w:rFonts w:ascii="Century Gothic" w:hAnsi="Century Gothic"/>
        </w:rPr>
        <w:t xml:space="preserve">PDIC/REDD+ de </w:t>
      </w:r>
      <w:r>
        <w:rPr>
          <w:rFonts w:ascii="Century Gothic" w:hAnsi="Century Gothic"/>
        </w:rPr>
        <w:t>Zecco</w:t>
      </w:r>
      <w:r>
        <w:rPr>
          <w:rFonts w:ascii="Century Gothic" w:hAnsi="Century Gothic"/>
        </w:rPr>
        <w:t xml:space="preserve">. </w:t>
      </w:r>
      <w:r>
        <w:rPr>
          <w:rFonts w:ascii="Century Gothic" w:hAnsi="Century Gothic"/>
        </w:rPr>
        <w:t xml:space="preserve">L’organisation et la gestion de l’activité sera faite par le </w:t>
      </w:r>
      <w:r>
        <w:rPr>
          <w:rFonts w:ascii="Century Gothic" w:hAnsi="Century Gothic"/>
        </w:rPr>
        <w:t>maire</w:t>
      </w:r>
      <w:r>
        <w:rPr>
          <w:rFonts w:ascii="Century Gothic" w:hAnsi="Century Gothic"/>
        </w:rPr>
        <w:t xml:space="preserve"> qui assure le rôle de coordination de l’activité.</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i/>
          <w:u w:val="single"/>
        </w:rPr>
      </w:pPr>
      <w:r>
        <w:rPr>
          <w:rFonts w:ascii="Century Gothic" w:hAnsi="Century Gothic"/>
          <w:i/>
          <w:u w:val="single"/>
        </w:rPr>
        <w:t>Sous-Activité 4.1.2.1.1.7</w:t>
      </w:r>
      <w:r>
        <w:rPr>
          <w:rFonts w:ascii="Century Gothic" w:hAnsi="Century Gothic"/>
          <w:i/>
          <w:u w:val="single"/>
        </w:rPr>
        <w:t xml:space="preserve">. Réaliser </w:t>
      </w:r>
      <w:r>
        <w:rPr>
          <w:rFonts w:ascii="Century Gothic" w:hAnsi="Century Gothic"/>
          <w:i/>
          <w:u w:val="single"/>
        </w:rPr>
        <w:t xml:space="preserve">le bornage de la forêt </w:t>
      </w:r>
      <w:r>
        <w:rPr>
          <w:rFonts w:ascii="Century Gothic" w:hAnsi="Century Gothic"/>
          <w:i/>
          <w:u w:val="single"/>
        </w:rPr>
        <w:t xml:space="preserve">villageoise de </w:t>
      </w:r>
      <w:r>
        <w:rPr>
          <w:rFonts w:ascii="Century Gothic" w:hAnsi="Century Gothic"/>
          <w:i/>
          <w:u w:val="single"/>
        </w:rPr>
        <w:t>Gonré</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b/>
        </w:rPr>
        <w:t>L’o</w:t>
      </w:r>
      <w:r>
        <w:rPr>
          <w:rFonts w:ascii="Century Gothic" w:hAnsi="Century Gothic"/>
          <w:b/>
        </w:rPr>
        <w:t>bjectif</w:t>
      </w:r>
      <w:r>
        <w:rPr>
          <w:rFonts w:ascii="Century Gothic" w:hAnsi="Century Gothic"/>
          <w:b/>
          <w:i/>
        </w:rPr>
        <w:t> :</w:t>
      </w:r>
      <w:r>
        <w:rPr>
          <w:rFonts w:ascii="Century Gothic" w:hAnsi="Century Gothic"/>
        </w:rPr>
        <w:t xml:space="preserve"> sécuriser l’intég</w:t>
      </w:r>
      <w:r>
        <w:rPr>
          <w:rFonts w:ascii="Century Gothic" w:hAnsi="Century Gothic"/>
        </w:rPr>
        <w:t xml:space="preserve">rité physique de la forêt </w:t>
      </w:r>
      <w:r>
        <w:rPr>
          <w:rFonts w:ascii="Century Gothic" w:hAnsi="Century Gothic"/>
        </w:rPr>
        <w:t xml:space="preserve">villageoise de </w:t>
      </w:r>
      <w:r>
        <w:rPr>
          <w:rFonts w:ascii="Century Gothic" w:hAnsi="Century Gothic"/>
        </w:rPr>
        <w:t>Gonré</w:t>
      </w:r>
      <w:r>
        <w:rPr>
          <w:rFonts w:ascii="Century Gothic" w:hAnsi="Century Gothic"/>
        </w:rPr>
        <w:t xml:space="preserve">.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va reposer sur la confection et la pose de bornes </w:t>
      </w:r>
      <w:r>
        <w:rPr>
          <w:rFonts w:ascii="Century Gothic" w:hAnsi="Century Gothic"/>
        </w:rPr>
        <w:t xml:space="preserve">de </w:t>
      </w:r>
      <w:r>
        <w:rPr>
          <w:rFonts w:ascii="Century Gothic" w:hAnsi="Century Gothic"/>
        </w:rPr>
        <w:t>(</w:t>
      </w:r>
      <w:r>
        <w:rPr>
          <w:rFonts w:ascii="Century Gothic" w:hAnsi="Century Gothic"/>
        </w:rPr>
        <w:t>20cm/20</w:t>
      </w:r>
      <w:r>
        <w:rPr>
          <w:rFonts w:ascii="Century Gothic" w:hAnsi="Century Gothic"/>
        </w:rPr>
        <w:t>cm</w:t>
      </w:r>
      <w:r>
        <w:rPr>
          <w:rFonts w:ascii="Century Gothic" w:hAnsi="Century Gothic"/>
        </w:rPr>
        <w:t xml:space="preserve"> de base) </w:t>
      </w:r>
      <w:r>
        <w:rPr>
          <w:rFonts w:ascii="Century Gothic" w:hAnsi="Century Gothic"/>
        </w:rPr>
        <w:t>sur l</w:t>
      </w:r>
      <w:r>
        <w:rPr>
          <w:rFonts w:ascii="Century Gothic" w:hAnsi="Century Gothic"/>
        </w:rPr>
        <w:t xml:space="preserve">es </w:t>
      </w:r>
      <w:r>
        <w:rPr>
          <w:rFonts w:ascii="Century Gothic" w:hAnsi="Century Gothic"/>
        </w:rPr>
        <w:t xml:space="preserve"> limites</w:t>
      </w:r>
      <w:r>
        <w:rPr>
          <w:rFonts w:ascii="Century Gothic" w:hAnsi="Century Gothic"/>
        </w:rPr>
        <w:t xml:space="preserve"> </w:t>
      </w:r>
      <w:r>
        <w:rPr>
          <w:rFonts w:ascii="Century Gothic" w:hAnsi="Century Gothic"/>
        </w:rPr>
        <w:t>de la forêt</w:t>
      </w:r>
      <w:r>
        <w:rPr>
          <w:rFonts w:ascii="Century Gothic" w:hAnsi="Century Gothic"/>
        </w:rPr>
        <w:t xml:space="preserve">. </w:t>
      </w:r>
      <w:r>
        <w:rPr>
          <w:rFonts w:ascii="Century Gothic" w:hAnsi="Century Gothic"/>
        </w:rPr>
        <w:t xml:space="preserve">Au </w:t>
      </w:r>
      <w:r>
        <w:rPr>
          <w:rFonts w:ascii="Century Gothic" w:hAnsi="Century Gothic"/>
        </w:rPr>
        <w:t xml:space="preserve">total de </w:t>
      </w:r>
      <w:r>
        <w:rPr>
          <w:rFonts w:ascii="Century Gothic" w:hAnsi="Century Gothic"/>
        </w:rPr>
        <w:t>24</w:t>
      </w:r>
      <w:r>
        <w:rPr>
          <w:rFonts w:ascii="Century Gothic" w:hAnsi="Century Gothic"/>
        </w:rPr>
        <w:t xml:space="preserve"> bornes</w:t>
      </w:r>
      <w:r>
        <w:rPr>
          <w:rFonts w:ascii="Century Gothic" w:hAnsi="Century Gothic"/>
        </w:rPr>
        <w:t xml:space="preserve"> </w:t>
      </w:r>
      <w:r>
        <w:rPr>
          <w:rFonts w:ascii="Century Gothic" w:hAnsi="Century Gothic"/>
        </w:rPr>
        <w:t>seront confectionnées et fixées et</w:t>
      </w:r>
      <w:r>
        <w:rPr>
          <w:rFonts w:ascii="Century Gothic" w:hAnsi="Century Gothic"/>
        </w:rPr>
        <w:t xml:space="preserve"> occuperont une superficie </w:t>
      </w:r>
      <w:r>
        <w:rPr>
          <w:rFonts w:ascii="Century Gothic" w:hAnsi="Century Gothic"/>
        </w:rPr>
        <w:t xml:space="preserve">de </w:t>
      </w:r>
      <w:r>
        <w:rPr>
          <w:rFonts w:ascii="Century Gothic" w:hAnsi="Century Gothic"/>
        </w:rPr>
        <w:t>96</w:t>
      </w:r>
      <w:r>
        <w:rPr>
          <w:rFonts w:ascii="Century Gothic" w:hAnsi="Century Gothic"/>
        </w:rPr>
        <w:t>00</w:t>
      </w:r>
      <w:r>
        <w:rPr>
          <w:rFonts w:ascii="Century Gothic" w:hAnsi="Century Gothic"/>
        </w:rPr>
        <w:t xml:space="preserve"> </w:t>
      </w:r>
      <w:r>
        <w:rPr>
          <w:rFonts w:ascii="Century Gothic" w:hAnsi="Century Gothic"/>
        </w:rPr>
        <w:t xml:space="preserve">cm² </w:t>
      </w:r>
      <w:r>
        <w:rPr>
          <w:rFonts w:ascii="Century Gothic" w:hAnsi="Century Gothic"/>
        </w:rPr>
        <w:t>(</w:t>
      </w:r>
      <w:r>
        <w:rPr>
          <w:rFonts w:ascii="Century Gothic" w:hAnsi="Century Gothic"/>
        </w:rPr>
        <w:t>0,96</w:t>
      </w:r>
      <w:r>
        <w:rPr>
          <w:rFonts w:ascii="Century Gothic" w:hAnsi="Century Gothic"/>
        </w:rPr>
        <w:t xml:space="preserve"> </w:t>
      </w:r>
      <w:r>
        <w:rPr>
          <w:rFonts w:ascii="Century Gothic" w:hAnsi="Century Gothic"/>
        </w:rPr>
        <w:t xml:space="preserve">m²) </w:t>
      </w:r>
      <w:r>
        <w:rPr>
          <w:rFonts w:ascii="Century Gothic" w:hAnsi="Century Gothic"/>
        </w:rPr>
        <w:t>de surface</w:t>
      </w:r>
      <w:r>
        <w:rPr>
          <w:rFonts w:ascii="Century Gothic" w:hAnsi="Century Gothic"/>
        </w:rPr>
        <w:t xml:space="preserve">. Le projet va faire recours à un prestataire pour la réalisation de l’activité. </w:t>
      </w:r>
      <w:r>
        <w:rPr>
          <w:rFonts w:ascii="Century Gothic" w:hAnsi="Century Gothic"/>
          <w:b/>
        </w:rPr>
        <w:t>Le résultat</w:t>
      </w:r>
      <w:r>
        <w:rPr>
          <w:rFonts w:ascii="Century Gothic" w:hAnsi="Century Gothic"/>
        </w:rPr>
        <w:t xml:space="preserve"> </w:t>
      </w:r>
      <w:r>
        <w:rPr>
          <w:rFonts w:ascii="Century Gothic" w:hAnsi="Century Gothic"/>
          <w:b/>
        </w:rPr>
        <w:t>attendu</w:t>
      </w:r>
      <w:r>
        <w:rPr>
          <w:rFonts w:ascii="Century Gothic" w:hAnsi="Century Gothic"/>
        </w:rPr>
        <w:t xml:space="preserve"> est que les limites de la forêt de Gonré sont matérialisées avec des bornes.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w:t>
      </w:r>
      <w:r>
        <w:rPr>
          <w:rFonts w:ascii="Century Gothic" w:hAnsi="Century Gothic"/>
        </w:rPr>
        <w:t xml:space="preserve">seront </w:t>
      </w:r>
      <w:r>
        <w:rPr>
          <w:rFonts w:ascii="Century Gothic" w:hAnsi="Century Gothic"/>
        </w:rPr>
        <w:t xml:space="preserve">constitués de l’expertise technique du prestataire et le suivi contrôle de qualité </w:t>
      </w:r>
      <w:r>
        <w:rPr>
          <w:rFonts w:ascii="Century Gothic" w:hAnsi="Century Gothic"/>
        </w:rPr>
        <w:t>du</w:t>
      </w:r>
      <w:r>
        <w:rPr>
          <w:rFonts w:ascii="Century Gothic" w:hAnsi="Century Gothic"/>
        </w:rPr>
        <w:t xml:space="preserve"> service forestier. </w:t>
      </w:r>
      <w:r>
        <w:rPr>
          <w:rFonts w:ascii="Century Gothic" w:hAnsi="Century Gothic"/>
          <w:b/>
        </w:rPr>
        <w:t>Les moyens financiers</w:t>
      </w:r>
      <w:r>
        <w:rPr>
          <w:rFonts w:ascii="Century Gothic" w:hAnsi="Century Gothic"/>
        </w:rPr>
        <w:t xml:space="preserve"> seront </w:t>
      </w:r>
      <w:r>
        <w:rPr>
          <w:rFonts w:ascii="Century Gothic" w:hAnsi="Century Gothic"/>
        </w:rPr>
        <w:t xml:space="preserve">les </w:t>
      </w:r>
      <w:r>
        <w:rPr>
          <w:rFonts w:ascii="Century Gothic" w:hAnsi="Century Gothic"/>
        </w:rPr>
        <w:t>frais</w:t>
      </w:r>
      <w:r>
        <w:rPr>
          <w:rFonts w:ascii="Century Gothic" w:hAnsi="Century Gothic"/>
        </w:rPr>
        <w:t xml:space="preserve"> du prestataire et de prise en charge d</w:t>
      </w:r>
      <w:r>
        <w:rPr>
          <w:rFonts w:ascii="Century Gothic" w:hAnsi="Century Gothic"/>
        </w:rPr>
        <w:t>u service forestier</w:t>
      </w:r>
      <w:r>
        <w:rPr>
          <w:rFonts w:ascii="Century Gothic" w:hAnsi="Century Gothic"/>
        </w:rPr>
        <w:t xml:space="preserve">. Ces ressources seront financées par le budget du </w:t>
      </w:r>
      <w:r>
        <w:rPr>
          <w:rFonts w:ascii="Century Gothic" w:hAnsi="Century Gothic"/>
        </w:rPr>
        <w:t xml:space="preserve">PDIC/REDD+ de </w:t>
      </w:r>
      <w:r>
        <w:rPr>
          <w:rFonts w:ascii="Century Gothic" w:hAnsi="Century Gothic"/>
        </w:rPr>
        <w:t>Zecco</w:t>
      </w:r>
      <w:r>
        <w:rPr>
          <w:rFonts w:ascii="Century Gothic" w:hAnsi="Century Gothic"/>
        </w:rPr>
        <w:t xml:space="preserve">. </w:t>
      </w:r>
      <w:r>
        <w:rPr>
          <w:rFonts w:ascii="Century Gothic" w:hAnsi="Century Gothic"/>
        </w:rPr>
        <w:t xml:space="preserve">L’organisation et la gestion de l’activité sera faite par la commune qui assure le rôle de coordination et prendra contact avec le prestataire sélectionné.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i/>
          <w:u w:val="single"/>
        </w:rPr>
        <w:t>Sous-Activité 4.1.2.1.1.8</w:t>
      </w:r>
      <w:r>
        <w:rPr>
          <w:rFonts w:ascii="Century Gothic" w:hAnsi="Century Gothic"/>
          <w:i/>
          <w:u w:val="single"/>
        </w:rPr>
        <w:t xml:space="preserve">. </w:t>
      </w:r>
      <w:r>
        <w:rPr>
          <w:rFonts w:ascii="Century Gothic" w:cs="Arial" w:hAnsi="Century Gothic"/>
          <w:i/>
          <w:u w:val="single"/>
        </w:rPr>
        <w:t xml:space="preserve">Confectionner et fixer cinq (5) panneaux d'information et de sensibilisation sur la forêt de </w:t>
      </w:r>
      <w:r>
        <w:rPr>
          <w:rFonts w:ascii="Century Gothic" w:cs="Arial" w:hAnsi="Century Gothic"/>
          <w:i/>
          <w:u w:val="single"/>
        </w:rPr>
        <w:t>Gonré</w:t>
      </w:r>
      <w:r>
        <w:rPr>
          <w:rFonts w:ascii="Century Gothic" w:hAnsi="Century Gothic"/>
          <w:b/>
        </w:rPr>
        <w:t xml:space="preserve"> </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rPr>
        <w:t xml:space="preserve"> de cette activité est de renforcer la sécurisation et la visibilité de forêt villageoise de Gonré</w:t>
      </w:r>
      <w:r>
        <w:rPr>
          <w:rFonts w:ascii="Century Gothic" w:cs="Arial" w:hAnsi="Century Gothic"/>
          <w:iCs/>
        </w:rPr>
        <w:t xml:space="preserve">. Cette activité vient renforcer l’activité de </w:t>
      </w:r>
      <w:r>
        <w:rPr>
          <w:rFonts w:ascii="Century Gothic" w:hAnsi="Century Gothic"/>
          <w:iCs/>
        </w:rPr>
        <w:t xml:space="preserve"> bornage et des plantations de délimitation. </w:t>
      </w:r>
      <w:r>
        <w:rPr>
          <w:rFonts w:ascii="Century Gothic" w:hAnsi="Century Gothic"/>
          <w:b/>
          <w:bCs/>
          <w:iCs/>
        </w:rPr>
        <w:t xml:space="preserve">La méthode </w:t>
      </w:r>
      <w:r>
        <w:rPr>
          <w:rFonts w:ascii="Century Gothic" w:hAnsi="Century Gothic"/>
          <w:bCs/>
          <w:iCs/>
        </w:rPr>
        <w:t>va reposer sur la conception des messages et leur</w:t>
      </w:r>
      <w:r>
        <w:rPr>
          <w:rFonts w:ascii="Century Gothic" w:hAnsi="Century Gothic"/>
          <w:bCs/>
        </w:rPr>
        <w:t xml:space="preserve"> validation par la commune, l’identification d’un prestataire pour la confection des panneaux</w:t>
      </w:r>
      <w:r>
        <w:rPr>
          <w:rFonts w:ascii="Century Gothic" w:hAnsi="Century Gothic"/>
          <w:bCs/>
        </w:rPr>
        <w:t xml:space="preserve"> </w:t>
      </w:r>
      <w:r>
        <w:rPr>
          <w:rFonts w:ascii="Century Gothic" w:hAnsi="Century Gothic"/>
          <w:bCs/>
        </w:rPr>
        <w:t>et enfin leur fixation qui se feront avec l’appui du CV</w:t>
      </w:r>
      <w:r>
        <w:rPr>
          <w:rFonts w:ascii="Century Gothic" w:hAnsi="Century Gothic"/>
          <w:bCs/>
        </w:rPr>
        <w:t>D</w:t>
      </w:r>
      <w:r>
        <w:rPr>
          <w:rFonts w:ascii="Century Gothic" w:hAnsi="Century Gothic"/>
          <w:bCs/>
        </w:rPr>
        <w:t xml:space="preserve"> du village</w:t>
      </w:r>
      <w:r>
        <w:rPr>
          <w:rFonts w:ascii="Century Gothic" w:hAnsi="Century Gothic"/>
        </w:rPr>
        <w:t xml:space="preserve">. </w:t>
      </w:r>
      <w:r>
        <w:rPr>
          <w:rFonts w:ascii="Century Gothic" w:hAnsi="Century Gothic"/>
          <w:b/>
        </w:rPr>
        <w:t xml:space="preserve">Le résultat attendu </w:t>
      </w:r>
      <w:r>
        <w:rPr>
          <w:rFonts w:ascii="Century Gothic" w:hAnsi="Century Gothic"/>
        </w:rPr>
        <w:t xml:space="preserve">est que la visibilité de la forêt est renforcée et les types d’utilisation et d’interdiction sont connus. </w:t>
      </w:r>
      <w:r>
        <w:rPr>
          <w:rFonts w:ascii="Century Gothic" w:hAnsi="Century Gothic"/>
          <w:b/>
        </w:rPr>
        <w:t>Les moyens matériels</w:t>
      </w:r>
      <w:r>
        <w:rPr>
          <w:rFonts w:ascii="Century Gothic" w:hAnsi="Century Gothic"/>
        </w:rPr>
        <w:t xml:space="preserve"> seront constitués de panneaux, de sable et ciment pour la fixation. Les trous de fixation seront 225 cm² (15cm/15</w:t>
      </w:r>
      <w:r>
        <w:rPr>
          <w:rFonts w:ascii="Century Gothic" w:hAnsi="Century Gothic"/>
        </w:rPr>
        <w:t>cm</w:t>
      </w:r>
      <w:r>
        <w:rPr>
          <w:rFonts w:ascii="Century Gothic" w:hAnsi="Century Gothic"/>
        </w:rPr>
        <w:t>) par pied de panneau soit un total de 450</w:t>
      </w:r>
      <w:r>
        <w:rPr>
          <w:rFonts w:ascii="Century Gothic" w:hAnsi="Century Gothic"/>
        </w:rPr>
        <w:t xml:space="preserve"> </w:t>
      </w:r>
      <w:r>
        <w:rPr>
          <w:rFonts w:ascii="Century Gothic" w:hAnsi="Century Gothic"/>
        </w:rPr>
        <w:t>cm² par panneau. Ce qui donne un total pour les cinq panneaux de 2</w:t>
      </w:r>
      <w:r>
        <w:rPr>
          <w:rFonts w:ascii="Century Gothic" w:hAnsi="Century Gothic"/>
        </w:rPr>
        <w:t> </w:t>
      </w:r>
      <w:r>
        <w:rPr>
          <w:rFonts w:ascii="Century Gothic" w:hAnsi="Century Gothic"/>
        </w:rPr>
        <w:t>250</w:t>
      </w:r>
      <w:r>
        <w:rPr>
          <w:rFonts w:ascii="Century Gothic" w:hAnsi="Century Gothic"/>
        </w:rPr>
        <w:t xml:space="preserve"> </w:t>
      </w:r>
      <w:r>
        <w:rPr>
          <w:rFonts w:ascii="Century Gothic" w:hAnsi="Century Gothic"/>
        </w:rPr>
        <w:t>cm² (</w:t>
      </w:r>
      <w:r>
        <w:rPr>
          <w:rFonts w:ascii="Century Gothic" w:hAnsi="Century Gothic"/>
        </w:rPr>
        <w:t>0,225</w:t>
      </w:r>
      <w:r>
        <w:rPr>
          <w:rFonts w:ascii="Century Gothic" w:hAnsi="Century Gothic"/>
        </w:rPr>
        <w:t xml:space="preserve"> </w:t>
      </w:r>
      <w:r>
        <w:rPr>
          <w:rFonts w:ascii="Century Gothic" w:hAnsi="Century Gothic"/>
        </w:rPr>
        <w:t xml:space="preserve">m²). </w:t>
      </w:r>
      <w:r>
        <w:rPr>
          <w:rFonts w:ascii="Century Gothic" w:hAnsi="Century Gothic"/>
          <w:b/>
        </w:rPr>
        <w:t>Les</w:t>
      </w:r>
      <w:r>
        <w:rPr>
          <w:rFonts w:ascii="Century Gothic" w:hAnsi="Century Gothic"/>
        </w:rPr>
        <w:t xml:space="preserve"> </w:t>
      </w:r>
      <w:r>
        <w:rPr>
          <w:rFonts w:ascii="Century Gothic" w:hAnsi="Century Gothic"/>
          <w:b/>
        </w:rPr>
        <w:t xml:space="preserve">moyens humains </w:t>
      </w:r>
      <w:r>
        <w:rPr>
          <w:rFonts w:ascii="Century Gothic" w:hAnsi="Century Gothic"/>
        </w:rPr>
        <w:t xml:space="preserve">seront constitués de prestataire pour la confection des panneaux et de main d’œuvre locale pour la fixation. </w:t>
      </w:r>
      <w:r>
        <w:rPr>
          <w:rFonts w:ascii="Century Gothic" w:hAnsi="Century Gothic"/>
          <w:b/>
        </w:rPr>
        <w:t>Les moyens financiers</w:t>
      </w:r>
      <w:r>
        <w:rPr>
          <w:rFonts w:ascii="Century Gothic" w:hAnsi="Century Gothic"/>
        </w:rPr>
        <w:t xml:space="preserve"> seront constitués de frais de confection et de fixation. Ces ressources seront financées par le budget du PDIC/REDD+ de Zecco. L’organisation et la gestion de l’activité sera faite par la commune qui assure le rôle de coordination et prendra contact avec le prestataire sélectionné et le comité de gestion de la forêt. </w:t>
      </w:r>
    </w:p>
    <w:p>
      <w:pPr>
        <w:pStyle w:val="style0"/>
        <w:tabs>
          <w:tab w:val="left" w:leader="none" w:pos="9214"/>
          <w:tab w:val="left" w:leader="none" w:pos="9639"/>
        </w:tabs>
        <w:jc w:val="both"/>
        <w:rPr>
          <w:rFonts w:ascii="Century Gothic" w:hAnsi="Century Gothic"/>
          <w:bCs/>
          <w:highlight w:val="cyan"/>
        </w:rPr>
      </w:pPr>
    </w:p>
    <w:bookmarkStart w:id="23" w:name="_Toc82049048"/>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4.1.2.</w:t>
      </w:r>
      <w:r>
        <w:rPr>
          <w:rFonts w:ascii="Century Gothic" w:hAnsi="Century Gothic"/>
          <w:szCs w:val="24"/>
        </w:rPr>
        <w:t>2</w:t>
      </w:r>
      <w:r>
        <w:rPr>
          <w:rFonts w:ascii="Century Gothic" w:hAnsi="Century Gothic"/>
          <w:szCs w:val="24"/>
        </w:rPr>
        <w:t xml:space="preserve"> </w:t>
      </w:r>
      <w:r>
        <w:rPr>
          <w:rFonts w:ascii="Century Gothic" w:hAnsi="Century Gothic"/>
          <w:szCs w:val="24"/>
        </w:rPr>
        <w:t xml:space="preserve">Activités induites </w:t>
      </w:r>
      <w:r>
        <w:rPr>
          <w:rFonts w:ascii="Century Gothic" w:hAnsi="Century Gothic"/>
          <w:szCs w:val="24"/>
        </w:rPr>
        <w:t xml:space="preserve">d’amélioration des productivités et des revenus </w:t>
      </w:r>
      <w:r>
        <w:rPr>
          <w:rFonts w:ascii="Century Gothic" w:hAnsi="Century Gothic"/>
          <w:szCs w:val="24"/>
        </w:rPr>
        <w:t>dans</w:t>
      </w:r>
      <w:r>
        <w:rPr>
          <w:rFonts w:ascii="Century Gothic" w:hAnsi="Century Gothic"/>
          <w:szCs w:val="24"/>
        </w:rPr>
        <w:t xml:space="preserve"> l</w:t>
      </w:r>
      <w:r>
        <w:rPr>
          <w:rFonts w:ascii="Century Gothic" w:hAnsi="Century Gothic"/>
          <w:szCs w:val="24"/>
        </w:rPr>
        <w:t xml:space="preserve">’espace de conservation </w:t>
      </w:r>
      <w:r>
        <w:rPr>
          <w:rFonts w:ascii="Century Gothic" w:hAnsi="Century Gothic"/>
          <w:szCs w:val="24"/>
        </w:rPr>
        <w:t xml:space="preserve">de </w:t>
      </w:r>
      <w:r>
        <w:rPr>
          <w:rFonts w:ascii="Century Gothic" w:hAnsi="Century Gothic"/>
          <w:szCs w:val="24"/>
        </w:rPr>
        <w:t>Gonré</w:t>
      </w:r>
      <w:bookmarkEnd w:id="23"/>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outlineLvl w:val="3"/>
        <w:rPr>
          <w:rFonts w:ascii="Century Gothic" w:hAnsi="Century Gothic"/>
          <w:i/>
          <w:iCs/>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w:t>
      </w:r>
      <w:r>
        <w:rPr>
          <w:rFonts w:ascii="Century Gothic" w:hAnsi="Century Gothic"/>
          <w:i/>
          <w:u w:val="single"/>
        </w:rPr>
        <w:t>2</w:t>
      </w:r>
      <w:r>
        <w:rPr>
          <w:rFonts w:ascii="Century Gothic" w:hAnsi="Century Gothic"/>
          <w:i/>
          <w:u w:val="single"/>
        </w:rPr>
        <w:t>.</w:t>
      </w:r>
      <w:r>
        <w:rPr>
          <w:rFonts w:ascii="Century Gothic" w:hAnsi="Century Gothic"/>
          <w:i/>
          <w:u w:val="single"/>
        </w:rPr>
        <w:t>1</w:t>
      </w:r>
      <w:r>
        <w:rPr>
          <w:rFonts w:ascii="Century Gothic" w:hAnsi="Century Gothic"/>
          <w:bCs/>
          <w:i/>
          <w:u w:val="single"/>
        </w:rPr>
        <w:t xml:space="preserve">. </w:t>
      </w:r>
      <w:r>
        <w:rPr>
          <w:rFonts w:ascii="Century Gothic" w:hAnsi="Century Gothic"/>
          <w:bCs/>
          <w:i/>
          <w:u w:val="single"/>
        </w:rPr>
        <w:t xml:space="preserve">Appuyer 100 producteurs à la production et à l’utilisation du compost dans l’espace de conservation de </w:t>
      </w:r>
      <w:r>
        <w:rPr>
          <w:rFonts w:ascii="Century Gothic" w:hAnsi="Century Gothic"/>
          <w:bCs/>
          <w:i/>
          <w:u w:val="single"/>
        </w:rPr>
        <w:t xml:space="preserve">Gonré </w:t>
      </w:r>
      <w:r>
        <w:rPr>
          <w:rFonts w:ascii="Century Gothic" w:hAnsi="Century Gothic"/>
          <w:i/>
          <w:iCs/>
          <w:u w:val="single"/>
        </w:rPr>
        <w:t>(Gonré et zenko-yarcé)</w:t>
      </w:r>
    </w:p>
    <w:p>
      <w:pPr>
        <w:pStyle w:val="style0"/>
        <w:tabs>
          <w:tab w:val="left" w:leader="none" w:pos="9214"/>
          <w:tab w:val="left" w:leader="none" w:pos="9639"/>
        </w:tabs>
        <w:jc w:val="both"/>
        <w:outlineLvl w:val="3"/>
        <w:rPr>
          <w:rFonts w:ascii="Century Gothic" w:hAnsi="Century Gothic"/>
          <w:i/>
          <w:iCs/>
          <w:u w:val="single"/>
        </w:rPr>
      </w:pPr>
    </w:p>
    <w:p>
      <w:pPr>
        <w:pStyle w:val="style0"/>
        <w:tabs>
          <w:tab w:val="left" w:leader="none" w:pos="9214"/>
          <w:tab w:val="left" w:leader="none" w:pos="9639"/>
        </w:tabs>
        <w:jc w:val="both"/>
        <w:outlineLvl w:val="3"/>
        <w:rPr>
          <w:rFonts w:ascii="Century Gothic" w:hAnsi="Century Gothic"/>
          <w:bCs/>
        </w:rPr>
      </w:pPr>
      <w:r>
        <w:rPr>
          <w:rFonts w:ascii="Century Gothic" w:hAnsi="Century Gothic"/>
          <w:b/>
        </w:rPr>
        <w:t>L’objectif</w:t>
      </w:r>
      <w:r>
        <w:rPr>
          <w:rFonts w:ascii="Century Gothic" w:hAnsi="Century Gothic"/>
        </w:rPr>
        <w:t xml:space="preserve"> de cette activité est d’appuyer les producteurs à réaliser des fosses fumières pour produire de la fumure organique et fertiliser les sols en vue d’accroître les rendements agricoles. L’accroissement des rendements agricoles permettra d’atténuer le phénomène des nouvelles défriches afin de préserver les espaces de conservation </w:t>
      </w:r>
      <w:r>
        <w:rPr>
          <w:rFonts w:ascii="Century Gothic" w:hAnsi="Century Gothic"/>
          <w:b/>
        </w:rPr>
        <w:t xml:space="preserve">La méthode </w:t>
      </w:r>
      <w:r>
        <w:rPr>
          <w:rFonts w:ascii="Century Gothic" w:hAnsi="Century Gothic"/>
        </w:rPr>
        <w:t xml:space="preserve">consistera à doter les bénéficiaires d’un kit de matériels (pioche, pelle, râteaux, fourche et de Burkina phosphate pour la préparation du compost). L’acquisition du matériel se fera sur la base d’un appel d’offre conformément aux procédures de passation des marchés et un PV de réception sera dressé à cet effet. Le bénéficiaire prendra en charge la collecte des agrégats (paille, résidus agricoles, fumier, etc.). L’activité sera réalisée avec l’appui technique </w:t>
      </w:r>
      <w:r>
        <w:rPr>
          <w:rFonts w:ascii="Century Gothic" w:hAnsi="Century Gothic"/>
        </w:rPr>
        <w:t xml:space="preserve">du </w:t>
      </w:r>
      <w:r>
        <w:rPr>
          <w:rFonts w:ascii="Century Gothic" w:hAnsi="Century Gothic"/>
        </w:rPr>
        <w:t xml:space="preserve">chef ZATA de </w:t>
      </w:r>
      <w:r>
        <w:rPr>
          <w:rFonts w:ascii="Century Gothic" w:hAnsi="Century Gothic"/>
        </w:rPr>
        <w:t xml:space="preserve">Zecco </w:t>
      </w:r>
      <w:r>
        <w:rPr>
          <w:rFonts w:ascii="Century Gothic" w:hAnsi="Century Gothic"/>
        </w:rPr>
        <w:t>sur la base d’un protocole précisant les modalités de son intervention. Il participera avec les producteurs à l’identification des bénéficiaires qui se fera sur la base du volontariat</w:t>
      </w:r>
      <w:r>
        <w:rPr>
          <w:rFonts w:ascii="Century Gothic" w:hAnsi="Century Gothic"/>
        </w:rPr>
        <w:t xml:space="preserve"> après avoir pris en compte les </w:t>
      </w:r>
      <w:r>
        <w:rPr>
          <w:rFonts w:ascii="Century Gothic" w:hAnsi="Century Gothic"/>
        </w:rPr>
        <w:t>six producteurs exploitant actuellement dans les limites de l’espace de conservation</w:t>
      </w:r>
      <w:r>
        <w:rPr>
          <w:rFonts w:ascii="Century Gothic" w:hAnsi="Century Gothic"/>
        </w:rPr>
        <w:t xml:space="preserve">.  Un rapport de suivis périodiques des réalisations permettra de suivre la mise en œuvre de l’activité. </w:t>
      </w:r>
      <w:r>
        <w:rPr>
          <w:rFonts w:ascii="Century Gothic" w:hAnsi="Century Gothic"/>
          <w:b/>
        </w:rPr>
        <w:t>Le résultat attendu</w:t>
      </w:r>
      <w:r>
        <w:rPr>
          <w:rFonts w:ascii="Century Gothic" w:hAnsi="Century Gothic"/>
        </w:rPr>
        <w:t xml:space="preserve"> de l’activité est qu’au moins cent (100) tas de fumure organique sont produits </w:t>
      </w:r>
      <w:r>
        <w:rPr>
          <w:rFonts w:ascii="Century Gothic" w:hAnsi="Century Gothic"/>
        </w:rPr>
        <w:t xml:space="preserve">par an pendant trois années. Ce qui donne un total de 300 tas </w:t>
      </w:r>
      <w:r>
        <w:rPr>
          <w:rFonts w:ascii="Century Gothic" w:hAnsi="Century Gothic"/>
        </w:rPr>
        <w:t xml:space="preserve">pour une superficie emblavées d’environ </w:t>
      </w:r>
      <w:r>
        <w:rPr>
          <w:rFonts w:ascii="Century Gothic" w:hAnsi="Century Gothic"/>
        </w:rPr>
        <w:t>37</w:t>
      </w:r>
      <w:r>
        <w:rPr>
          <w:rFonts w:ascii="Century Gothic" w:hAnsi="Century Gothic"/>
        </w:rPr>
        <w:t>,</w:t>
      </w:r>
      <w:r>
        <w:rPr>
          <w:rFonts w:ascii="Century Gothic" w:hAnsi="Century Gothic"/>
        </w:rPr>
        <w:t>5</w:t>
      </w:r>
      <w:r>
        <w:rPr>
          <w:rFonts w:ascii="Century Gothic" w:hAnsi="Century Gothic"/>
        </w:rPr>
        <w:t xml:space="preserve"> hectares</w:t>
      </w:r>
      <w:r>
        <w:rPr>
          <w:rFonts w:ascii="Century Gothic" w:hAnsi="Century Gothic"/>
        </w:rPr>
        <w:t xml:space="preserve"> (8 tas pour 1 hectare)</w:t>
      </w:r>
      <w:r>
        <w:rPr>
          <w:rFonts w:ascii="Century Gothic" w:hAnsi="Century Gothic"/>
        </w:rPr>
        <w:t xml:space="preserve">. </w:t>
      </w:r>
      <w:r>
        <w:rPr>
          <w:rFonts w:ascii="Century Gothic" w:hAnsi="Century Gothic"/>
          <w:b/>
        </w:rPr>
        <w:t>Les moyens physiques</w:t>
      </w:r>
      <w:r>
        <w:rPr>
          <w:rFonts w:ascii="Century Gothic" w:hAnsi="Century Gothic"/>
        </w:rPr>
        <w:t xml:space="preserve"> se résumeront en matériels (pelles, pioche) et </w:t>
      </w:r>
      <w:r>
        <w:rPr>
          <w:rFonts w:ascii="Century Gothic" w:hAnsi="Century Gothic"/>
          <w:b/>
        </w:rPr>
        <w:t>moyens humains</w:t>
      </w:r>
      <w:r>
        <w:rPr>
          <w:rFonts w:ascii="Century Gothic" w:hAnsi="Century Gothic"/>
        </w:rPr>
        <w:t xml:space="preserve"> constitués de l’expertise du service de l’agriculture. </w:t>
      </w:r>
      <w:r>
        <w:rPr>
          <w:rFonts w:ascii="Century Gothic" w:hAnsi="Century Gothic"/>
          <w:b/>
        </w:rPr>
        <w:t>Les</w:t>
      </w:r>
      <w:r>
        <w:rPr>
          <w:rFonts w:ascii="Century Gothic" w:hAnsi="Century Gothic"/>
        </w:rPr>
        <w:t xml:space="preserve"> </w:t>
      </w:r>
      <w:r>
        <w:rPr>
          <w:rFonts w:ascii="Century Gothic" w:hAnsi="Century Gothic"/>
          <w:b/>
        </w:rPr>
        <w:t xml:space="preserve">moyens financiers sont </w:t>
      </w:r>
      <w:r>
        <w:rPr>
          <w:rFonts w:ascii="Century Gothic" w:hAnsi="Century Gothic"/>
        </w:rPr>
        <w:t>composés des honoraires du suivi. Ces ressources seront financées par le budget du PDIC/REDD+</w:t>
      </w:r>
      <w:r>
        <w:rPr>
          <w:rFonts w:ascii="Century Gothic" w:hAnsi="Century Gothic"/>
        </w:rPr>
        <w:t xml:space="preserve"> de Zecco</w:t>
      </w:r>
      <w:r>
        <w:rPr>
          <w:rFonts w:ascii="Century Gothic" w:hAnsi="Century Gothic"/>
        </w:rPr>
        <w:t xml:space="preserve">. L’organisation et la gestion de l’activité sera faite </w:t>
      </w:r>
      <w:r>
        <w:rPr>
          <w:rFonts w:ascii="Century Gothic" w:hAnsi="Century Gothic"/>
        </w:rPr>
        <w:t xml:space="preserve">par le maire qui assure le rôle de coordination de l’activité en collaboration avec le service de l’agriculture.  </w:t>
      </w:r>
    </w:p>
    <w:p>
      <w:pPr>
        <w:pStyle w:val="style0"/>
        <w:tabs>
          <w:tab w:val="left" w:leader="none" w:pos="9214"/>
          <w:tab w:val="left" w:leader="none" w:pos="9639"/>
        </w:tabs>
        <w:jc w:val="both"/>
        <w:outlineLvl w:val="3"/>
        <w:rPr>
          <w:rFonts w:ascii="Century Gothic" w:hAnsi="Century Gothic"/>
          <w:bCs/>
        </w:rPr>
      </w:pPr>
      <w:r>
        <w:rPr>
          <w:rFonts w:ascii="Century Gothic" w:hAnsi="Century Gothic"/>
        </w:rPr>
        <w:t xml:space="preserve"> </w:t>
      </w:r>
    </w:p>
    <w:p>
      <w:pPr>
        <w:pStyle w:val="style0"/>
        <w:tabs>
          <w:tab w:val="left" w:leader="none" w:pos="1701"/>
          <w:tab w:val="left" w:leader="none" w:pos="9214"/>
          <w:tab w:val="left" w:leader="none" w:pos="9639"/>
        </w:tabs>
        <w:suppressAutoHyphens/>
        <w:jc w:val="both"/>
        <w:rPr>
          <w:rFonts w:ascii="Century Gothic" w:hAnsi="Century Gothic"/>
          <w:i/>
          <w:iCs/>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w:t>
      </w:r>
      <w:r>
        <w:rPr>
          <w:rFonts w:ascii="Century Gothic" w:hAnsi="Century Gothic"/>
          <w:i/>
          <w:u w:val="single"/>
        </w:rPr>
        <w:t>2</w:t>
      </w:r>
      <w:r>
        <w:rPr>
          <w:rFonts w:ascii="Century Gothic" w:hAnsi="Century Gothic"/>
          <w:i/>
          <w:u w:val="single"/>
        </w:rPr>
        <w:t>.2</w:t>
      </w:r>
      <w:r>
        <w:rPr>
          <w:rFonts w:ascii="Century Gothic" w:hAnsi="Century Gothic"/>
          <w:bCs/>
          <w:i/>
          <w:u w:val="single"/>
        </w:rPr>
        <w:t xml:space="preserve">. </w:t>
      </w:r>
      <w:r>
        <w:rPr>
          <w:rFonts w:ascii="Century Gothic" w:hAnsi="Century Gothic"/>
          <w:i/>
          <w:iCs/>
          <w:u w:val="single"/>
        </w:rPr>
        <w:t xml:space="preserve">Appuyer </w:t>
      </w:r>
      <w:r>
        <w:rPr>
          <w:rFonts w:ascii="Century Gothic" w:hAnsi="Century Gothic"/>
          <w:i/>
          <w:iCs/>
          <w:u w:val="single"/>
        </w:rPr>
        <w:t xml:space="preserve">100 producteurs </w:t>
      </w:r>
      <w:r>
        <w:rPr>
          <w:rFonts w:ascii="Century Gothic" w:hAnsi="Century Gothic"/>
          <w:i/>
          <w:iCs/>
          <w:u w:val="single"/>
        </w:rPr>
        <w:t xml:space="preserve">la fauche et conservation du fourrage naturel dans les villages riverains de l‘espace de conservation de </w:t>
      </w:r>
      <w:r>
        <w:rPr>
          <w:rFonts w:ascii="Century Gothic" w:hAnsi="Century Gothic"/>
          <w:i/>
          <w:iCs/>
          <w:u w:val="single"/>
        </w:rPr>
        <w:t>Gonré (Gonré et zenko-yarcé)</w:t>
      </w:r>
    </w:p>
    <w:p>
      <w:pPr>
        <w:pStyle w:val="style0"/>
        <w:tabs>
          <w:tab w:val="left" w:leader="none" w:pos="1701"/>
          <w:tab w:val="left" w:leader="none" w:pos="9214"/>
          <w:tab w:val="left" w:leader="none" w:pos="9639"/>
        </w:tabs>
        <w:suppressAutoHyphens/>
        <w:jc w:val="both"/>
        <w:rPr>
          <w:rFonts w:ascii="Century Gothic" w:hAnsi="Century Gothic"/>
          <w:i/>
          <w:iCs/>
          <w:u w:val="single"/>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L’objectif</w:t>
      </w:r>
      <w:r>
        <w:rPr>
          <w:rFonts w:ascii="Century Gothic" w:hAnsi="Century Gothic"/>
        </w:rPr>
        <w:t xml:space="preserve"> de cette activité est de doter les producteurs de kits de matériel de fauche et de conservation du fourrage naturel. Elle vise d’une part une augmentation de la production du fourrage et de sa conservation dans de bonnes conditions et d’autre part son utilisation en saison sèche comme aliment à bétail dans une optique de conservation des ressources forestières</w:t>
      </w:r>
      <w:r>
        <w:rPr>
          <w:rFonts w:ascii="Century Gothic" w:hAnsi="Century Gothic"/>
        </w:rPr>
        <w:t xml:space="preserve"> </w:t>
      </w:r>
      <w:r>
        <w:rPr>
          <w:rFonts w:ascii="Century Gothic" w:hAnsi="Century Gothic"/>
        </w:rPr>
        <w:t>participant ainsi</w:t>
      </w:r>
      <w:r>
        <w:rPr>
          <w:rFonts w:ascii="Century Gothic" w:hAnsi="Century Gothic"/>
        </w:rPr>
        <w:t xml:space="preserve"> à la résolution de la difficulté relative à la f</w:t>
      </w:r>
      <w:r>
        <w:rPr>
          <w:rFonts w:ascii="Century Gothic" w:cs="Tahoma" w:hAnsi="Century Gothic"/>
        </w:rPr>
        <w:t>aible disponibilité de l’offre fourragère dans la commune en saison sèche</w:t>
      </w:r>
      <w:r>
        <w:rPr>
          <w:rFonts w:ascii="Century Gothic" w:hAnsi="Century Gothic"/>
        </w:rPr>
        <w:t xml:space="preserve">. </w:t>
      </w:r>
      <w:r>
        <w:rPr>
          <w:rFonts w:ascii="Century Gothic" w:hAnsi="Century Gothic"/>
          <w:b/>
          <w:bCs/>
        </w:rPr>
        <w:t>La méthode</w:t>
      </w:r>
      <w:r>
        <w:rPr>
          <w:rFonts w:ascii="Century Gothic" w:hAnsi="Century Gothic"/>
          <w:bCs/>
        </w:rPr>
        <w:t xml:space="preserve"> consistera </w:t>
      </w:r>
      <w:r>
        <w:rPr>
          <w:rFonts w:ascii="Century Gothic" w:hAnsi="Century Gothic"/>
          <w:bCs/>
        </w:rPr>
        <w:t>à la dotation</w:t>
      </w:r>
      <w:r>
        <w:rPr>
          <w:rFonts w:ascii="Century Gothic" w:hAnsi="Century Gothic"/>
          <w:bCs/>
        </w:rPr>
        <w:t xml:space="preserve"> des </w:t>
      </w:r>
      <w:r>
        <w:rPr>
          <w:rFonts w:ascii="Century Gothic" w:hAnsi="Century Gothic"/>
          <w:bCs/>
        </w:rPr>
        <w:t>cent</w:t>
      </w:r>
      <w:r>
        <w:rPr>
          <w:rFonts w:ascii="Century Gothic" w:hAnsi="Century Gothic"/>
          <w:bCs/>
        </w:rPr>
        <w:t xml:space="preserve"> </w:t>
      </w:r>
      <w:r>
        <w:rPr>
          <w:rFonts w:ascii="Century Gothic" w:hAnsi="Century Gothic"/>
          <w:bCs/>
        </w:rPr>
        <w:t>(</w:t>
      </w:r>
      <w:r>
        <w:rPr>
          <w:rFonts w:ascii="Century Gothic" w:hAnsi="Century Gothic"/>
          <w:bCs/>
        </w:rPr>
        <w:t>100</w:t>
      </w:r>
      <w:r>
        <w:rPr>
          <w:rFonts w:ascii="Century Gothic" w:hAnsi="Century Gothic"/>
          <w:bCs/>
        </w:rPr>
        <w:t>) producteurs formés en kit</w:t>
      </w:r>
      <w:r>
        <w:rPr>
          <w:rFonts w:ascii="Century Gothic" w:hAnsi="Century Gothic"/>
          <w:bCs/>
        </w:rPr>
        <w:t xml:space="preserve"> de fauche </w:t>
      </w:r>
      <w:r>
        <w:rPr>
          <w:rFonts w:ascii="Century Gothic" w:hAnsi="Century Gothic"/>
          <w:bCs/>
        </w:rPr>
        <w:t>(</w:t>
      </w:r>
      <w:r>
        <w:rPr>
          <w:rFonts w:ascii="Century Gothic" w:hAnsi="Century Gothic"/>
        </w:rPr>
        <w:t>botteleuse, faucilles, paire de botte</w:t>
      </w:r>
      <w:r>
        <w:rPr>
          <w:rFonts w:ascii="Century Gothic" w:hAnsi="Century Gothic"/>
        </w:rPr>
        <w:t>) et de</w:t>
      </w:r>
      <w:r>
        <w:rPr>
          <w:rFonts w:ascii="Century Gothic" w:hAnsi="Century Gothic"/>
        </w:rPr>
        <w:t xml:space="preserve"> conservation </w:t>
      </w:r>
      <w:r>
        <w:rPr>
          <w:rFonts w:ascii="Century Gothic" w:hAnsi="Century Gothic"/>
        </w:rPr>
        <w:t>(</w:t>
      </w:r>
      <w:r>
        <w:rPr>
          <w:rFonts w:ascii="Century Gothic" w:hAnsi="Century Gothic"/>
        </w:rPr>
        <w:t xml:space="preserve">fenil de 10 tôles en brique (l’apport du projet portera uniquement sur les tôles, chevrons et le transport). </w:t>
      </w:r>
      <w:r>
        <w:rPr>
          <w:rFonts w:ascii="Century Gothic" w:hAnsi="Century Gothic"/>
          <w:b/>
        </w:rPr>
        <w:t>Le résultat attendu</w:t>
      </w:r>
      <w:r>
        <w:rPr>
          <w:rFonts w:ascii="Century Gothic" w:hAnsi="Century Gothic"/>
        </w:rPr>
        <w:t xml:space="preserve"> de l’activité est que les capacités de la commune en matière de fauche et de conservation du fourrage sont renforcées. </w:t>
      </w:r>
      <w:r>
        <w:rPr>
          <w:rFonts w:ascii="Century Gothic" w:hAnsi="Century Gothic"/>
          <w:b/>
        </w:rPr>
        <w:t>Les moyens matériels</w:t>
      </w:r>
      <w:r>
        <w:rPr>
          <w:rFonts w:ascii="Century Gothic" w:hAnsi="Century Gothic"/>
        </w:rPr>
        <w:t xml:space="preserve"> se résumeront à la l’appui en tôle et en kits de fauche. Les </w:t>
      </w:r>
      <w:r>
        <w:rPr>
          <w:rFonts w:ascii="Century Gothic" w:hAnsi="Century Gothic"/>
          <w:b/>
        </w:rPr>
        <w:t>moyens humains</w:t>
      </w:r>
      <w:r>
        <w:rPr>
          <w:rFonts w:ascii="Century Gothic" w:hAnsi="Century Gothic"/>
        </w:rPr>
        <w:t xml:space="preserve"> constitués de l’expertise de l’agent des ressources animales pour le suivi conseil.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w:t>
      </w:r>
      <w:r>
        <w:rPr>
          <w:rFonts w:ascii="Century Gothic" w:hAnsi="Century Gothic"/>
        </w:rPr>
        <w:t>Zecco</w:t>
      </w:r>
      <w:r>
        <w:rPr>
          <w:rFonts w:ascii="Century Gothic" w:hAnsi="Century Gothic"/>
        </w:rPr>
        <w:t xml:space="preserve">. La réalisation et l’entretien des tas de compost constitueront la contribution en nature des bénéficiaires. L’organisation et la gestion de l’activité sera faite par le maire qui assure le rôle de coordination de l’activité en collaboration avec le service des ressources animales de la commune de </w:t>
      </w:r>
      <w:r>
        <w:rPr>
          <w:rFonts w:ascii="Century Gothic" w:hAnsi="Century Gothic"/>
        </w:rPr>
        <w:t>Zecco</w:t>
      </w:r>
      <w:r>
        <w:rPr>
          <w:rFonts w:ascii="Century Gothic" w:hAnsi="Century Gothic"/>
        </w:rPr>
        <w:t xml:space="preserve">.  </w:t>
      </w:r>
    </w:p>
    <w:p>
      <w:pPr>
        <w:pStyle w:val="style0"/>
        <w:tabs>
          <w:tab w:val="left" w:leader="none" w:pos="9214"/>
          <w:tab w:val="left" w:leader="none" w:pos="9639"/>
        </w:tabs>
        <w:jc w:val="both"/>
        <w:rPr>
          <w:rFonts w:ascii="Century Gothic" w:hAnsi="Century Gothic"/>
          <w:bCs/>
          <w:i/>
          <w:u w:val="single"/>
        </w:rPr>
      </w:pPr>
    </w:p>
    <w:p>
      <w:pPr>
        <w:pStyle w:val="style0"/>
        <w:tabs>
          <w:tab w:val="left" w:leader="none" w:pos="1701"/>
          <w:tab w:val="left" w:leader="none" w:pos="9214"/>
          <w:tab w:val="left" w:leader="none" w:pos="9639"/>
        </w:tabs>
        <w:suppressAutoHyphens/>
        <w:jc w:val="both"/>
        <w:rPr>
          <w:rFonts w:ascii="Century Gothic" w:hAnsi="Century Gothic"/>
          <w:i/>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w:t>
      </w:r>
      <w:r>
        <w:rPr>
          <w:rFonts w:ascii="Century Gothic" w:hAnsi="Century Gothic"/>
          <w:i/>
          <w:u w:val="single"/>
        </w:rPr>
        <w:t>2</w:t>
      </w:r>
      <w:r>
        <w:rPr>
          <w:rFonts w:ascii="Century Gothic" w:hAnsi="Century Gothic"/>
          <w:i/>
          <w:u w:val="single"/>
        </w:rPr>
        <w:t>.3</w:t>
      </w:r>
      <w:r>
        <w:rPr>
          <w:rFonts w:ascii="Century Gothic" w:hAnsi="Century Gothic"/>
          <w:bCs/>
          <w:i/>
          <w:u w:val="single"/>
        </w:rPr>
        <w:t xml:space="preserve">. Appuyer l’apiculture moderne </w:t>
      </w:r>
      <w:r>
        <w:rPr>
          <w:rFonts w:ascii="Century Gothic" w:hAnsi="Century Gothic"/>
          <w:i/>
          <w:u w:val="single"/>
        </w:rPr>
        <w:t xml:space="preserve">au profit de </w:t>
      </w:r>
      <w:r>
        <w:rPr>
          <w:rFonts w:ascii="Century Gothic" w:hAnsi="Century Gothic"/>
          <w:i/>
          <w:u w:val="single"/>
        </w:rPr>
        <w:t>20</w:t>
      </w:r>
      <w:r>
        <w:rPr>
          <w:rFonts w:ascii="Century Gothic" w:hAnsi="Century Gothic"/>
          <w:i/>
          <w:u w:val="single"/>
        </w:rPr>
        <w:t xml:space="preserve"> jeunes et femmes dans l’espace de conservation de </w:t>
      </w:r>
      <w:r>
        <w:rPr>
          <w:rFonts w:ascii="Century Gothic" w:hAnsi="Century Gothic"/>
          <w:i/>
          <w:u w:val="single"/>
        </w:rPr>
        <w:t>Gonré</w:t>
      </w:r>
    </w:p>
    <w:p>
      <w:pPr>
        <w:pStyle w:val="style0"/>
        <w:tabs>
          <w:tab w:val="left" w:leader="none" w:pos="1701"/>
          <w:tab w:val="left" w:leader="none" w:pos="9214"/>
          <w:tab w:val="left" w:leader="none" w:pos="9639"/>
        </w:tabs>
        <w:suppressAutoHyphens/>
        <w:jc w:val="both"/>
        <w:rPr>
          <w:rFonts w:ascii="Century Gothic" w:hAnsi="Century Gothic"/>
          <w:i/>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w:t>
      </w:r>
      <w:r>
        <w:rPr>
          <w:rFonts w:ascii="Century Gothic" w:hAnsi="Century Gothic"/>
          <w:b/>
          <w:bCs/>
        </w:rPr>
        <w:t>bjectif </w:t>
      </w:r>
      <w:r>
        <w:rPr>
          <w:rFonts w:ascii="Century Gothic" w:hAnsi="Century Gothic"/>
          <w:bCs/>
        </w:rPr>
        <w:t xml:space="preserve">est d’appuyer les apprenants à produire du miel en quantité et en qualité. </w:t>
      </w:r>
      <w:r>
        <w:rPr>
          <w:rFonts w:ascii="Century Gothic" w:hAnsi="Century Gothic"/>
          <w:b/>
          <w:bCs/>
        </w:rPr>
        <w:t>La méthode</w:t>
      </w:r>
      <w:r>
        <w:rPr>
          <w:rFonts w:ascii="Century Gothic" w:hAnsi="Century Gothic"/>
          <w:bCs/>
        </w:rPr>
        <w:t xml:space="preserve"> sera de doter chaque sous-groupe de 4 personnes d’un kit apicole (ruches kenyanes à cadres trapézoïdaux, 4 combinaisons, 4 paires de bottes, 4 paires de gants, une brosse à abeilles, un lèvre-cadres, une enfumoir, un seau, un couteau, une torche, </w:t>
      </w:r>
      <w:r>
        <w:rPr>
          <w:rFonts w:ascii="Century Gothic" w:hAnsi="Century Gothic"/>
          <w:bCs/>
        </w:rPr>
        <w:t xml:space="preserve">4 </w:t>
      </w:r>
      <w:r>
        <w:rPr>
          <w:rFonts w:ascii="Century Gothic" w:hAnsi="Century Gothic"/>
          <w:bCs/>
        </w:rPr>
        <w:t xml:space="preserve">caisses de récolte). </w:t>
      </w:r>
      <w:r>
        <w:rPr>
          <w:rFonts w:ascii="Century Gothic" w:hAnsi="Century Gothic"/>
          <w:b/>
          <w:bCs/>
        </w:rPr>
        <w:t>Le résultat attendu </w:t>
      </w:r>
      <w:r>
        <w:rPr>
          <w:rFonts w:ascii="Century Gothic" w:hAnsi="Century Gothic"/>
          <w:bCs/>
        </w:rPr>
        <w:t xml:space="preserve">est que les apprenants sont équipés en kits apicoles et produisent du miel de qualité. </w:t>
      </w:r>
      <w:r>
        <w:rPr>
          <w:rFonts w:ascii="Century Gothic" w:hAnsi="Century Gothic"/>
          <w:b/>
        </w:rPr>
        <w:t>Les moyens physiques</w:t>
      </w:r>
      <w:r>
        <w:rPr>
          <w:rFonts w:ascii="Century Gothic" w:hAnsi="Century Gothic"/>
        </w:rPr>
        <w:t xml:space="preserve"> se résumeront en matériels apicoles (ruches, abreuvoirs, etc..) et </w:t>
      </w:r>
      <w:r>
        <w:rPr>
          <w:rFonts w:ascii="Century Gothic" w:hAnsi="Century Gothic"/>
          <w:b/>
        </w:rPr>
        <w:t>moyens humains</w:t>
      </w:r>
      <w:r>
        <w:rPr>
          <w:rFonts w:ascii="Century Gothic" w:hAnsi="Century Gothic"/>
        </w:rPr>
        <w:t xml:space="preserve"> constitués de l’expertise d’un spécialiste en apiculture pour le suivi conseil aux apiculteurs.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Zecco. L’organisation et la gestion de l’activité sera faite par le maire qui assure le rôle de coordination de l’activité en collaboration avec l’expert en apiculture.  </w:t>
      </w:r>
    </w:p>
    <w:p>
      <w:pPr>
        <w:pStyle w:val="style0"/>
        <w:spacing w:after="160" w:lineRule="auto" w:line="259"/>
        <w:rPr>
          <w:rFonts w:ascii="Century Gothic" w:hAnsi="Century Gothic"/>
          <w:bCs/>
          <w:i/>
          <w:u w:val="single"/>
        </w:rPr>
      </w:pPr>
      <w:r>
        <w:rPr>
          <w:rFonts w:ascii="Century Gothic" w:hAnsi="Century Gothic"/>
          <w:bCs/>
          <w:i/>
          <w:u w:val="single"/>
        </w:rPr>
        <w:br w:type="page"/>
      </w:r>
    </w:p>
    <w:p>
      <w:pPr>
        <w:pStyle w:val="style0"/>
        <w:tabs>
          <w:tab w:val="left" w:leader="none" w:pos="9214"/>
          <w:tab w:val="left" w:leader="none" w:pos="9639"/>
        </w:tabs>
        <w:jc w:val="both"/>
        <w:rPr>
          <w:rFonts w:ascii="Century Gothic" w:hAnsi="Century Gothic"/>
          <w:bCs/>
          <w:i/>
          <w:u w:val="single"/>
        </w:rPr>
      </w:pPr>
    </w:p>
    <w:p>
      <w:pPr>
        <w:pStyle w:val="style0"/>
        <w:jc w:val="both"/>
        <w:rPr>
          <w:rFonts w:ascii="Century Gothic" w:hAnsi="Century Gothic"/>
          <w:b/>
          <w:bCs/>
        </w:rPr>
      </w:pPr>
      <w:r>
        <w:rPr>
          <w:rFonts w:ascii="Century Gothic" w:hAnsi="Century Gothic"/>
          <w:bCs/>
          <w:i/>
          <w:u w:val="single"/>
        </w:rPr>
        <w:t xml:space="preserve">Activité </w:t>
      </w:r>
      <w:r>
        <w:rPr>
          <w:rFonts w:ascii="Century Gothic" w:hAnsi="Century Gothic"/>
          <w:i/>
          <w:u w:val="single"/>
        </w:rPr>
        <w:t>4.1.2.2.4</w:t>
      </w:r>
      <w:r>
        <w:rPr>
          <w:rFonts w:ascii="Century Gothic" w:hAnsi="Century Gothic"/>
          <w:bCs/>
          <w:i/>
          <w:u w:val="single"/>
        </w:rPr>
        <w:t xml:space="preserve">. </w:t>
      </w:r>
      <w:r>
        <w:rPr>
          <w:rFonts w:ascii="Century Gothic" w:hAnsi="Century Gothic"/>
          <w:bCs/>
          <w:i/>
          <w:u w:val="single"/>
        </w:rPr>
        <w:t xml:space="preserve">Mettre en place un périmètre maraîcher au profit de la coopérative féminine </w:t>
      </w:r>
      <w:r>
        <w:rPr>
          <w:rFonts w:ascii="Century Gothic" w:hAnsi="Century Gothic"/>
          <w:i/>
          <w:u w:val="single"/>
        </w:rPr>
        <w:t>Song Taaba Maboltenga</w:t>
      </w:r>
      <w:r>
        <w:rPr>
          <w:rFonts w:ascii="Century Gothic" w:hAnsi="Century Gothic"/>
          <w:bCs/>
          <w:i/>
          <w:u w:val="single"/>
        </w:rPr>
        <w:t xml:space="preserve"> de Gonré</w:t>
      </w:r>
      <w:r>
        <w:rPr>
          <w:rFonts w:ascii="Century Gothic" w:hAnsi="Century Gothic"/>
          <w:b/>
          <w:bCs/>
        </w:rPr>
        <w:t xml:space="preserve"> </w:t>
      </w:r>
    </w:p>
    <w:p>
      <w:pPr>
        <w:pStyle w:val="style0"/>
        <w:jc w:val="both"/>
        <w:rPr>
          <w:rFonts w:ascii="Century Gothic" w:hAnsi="Century Gothic"/>
          <w:b/>
          <w:bCs/>
        </w:rPr>
      </w:pPr>
    </w:p>
    <w:p>
      <w:pPr>
        <w:pStyle w:val="style0"/>
        <w:jc w:val="both"/>
        <w:rPr>
          <w:rFonts w:ascii="Century Gothic" w:hAnsi="Century Gothic"/>
          <w:bCs/>
        </w:rPr>
      </w:pPr>
      <w:r>
        <w:rPr>
          <w:rFonts w:ascii="Century Gothic" w:hAnsi="Century Gothic"/>
          <w:b/>
          <w:bCs/>
        </w:rPr>
        <w:t xml:space="preserve">L’objectif </w:t>
      </w:r>
      <w:r>
        <w:rPr>
          <w:rFonts w:ascii="Century Gothic" w:hAnsi="Century Gothic"/>
          <w:bCs/>
        </w:rPr>
        <w:t xml:space="preserve">de cette activité est de doter la coopérative féminine </w:t>
      </w:r>
      <w:r>
        <w:rPr>
          <w:rFonts w:ascii="Century Gothic" w:hAnsi="Century Gothic"/>
        </w:rPr>
        <w:t>Song Taaba Maboltenga</w:t>
      </w:r>
      <w:r>
        <w:rPr>
          <w:rFonts w:ascii="Century Gothic" w:hAnsi="Century Gothic"/>
          <w:bCs/>
        </w:rPr>
        <w:t xml:space="preserve"> d’un</w:t>
      </w:r>
      <w:r>
        <w:rPr>
          <w:rFonts w:ascii="Century Gothic" w:hAnsi="Century Gothic"/>
        </w:rPr>
        <w:t xml:space="preserve">e infrastructure de production maraîchère et un kit de matériel pour la production maraichère Elle vise d’une part à diversifier </w:t>
      </w:r>
      <w:r>
        <w:rPr>
          <w:rFonts w:ascii="Century Gothic" w:hAnsi="Century Gothic"/>
        </w:rPr>
        <w:t xml:space="preserve">et à accroitre </w:t>
      </w:r>
      <w:r>
        <w:rPr>
          <w:rFonts w:ascii="Century Gothic" w:hAnsi="Century Gothic"/>
        </w:rPr>
        <w:t xml:space="preserve">les sources de revenus des femmes </w:t>
      </w:r>
      <w:r>
        <w:rPr>
          <w:rFonts w:ascii="Century Gothic" w:hAnsi="Century Gothic"/>
          <w:bCs/>
        </w:rPr>
        <w:t xml:space="preserve">et d’autre part à renforcer la cohésion sociale. L’amélioration des revenus des femmes permettra à ces dernières de ne pas avoir recours à la coupe </w:t>
      </w:r>
      <w:r>
        <w:rPr>
          <w:rFonts w:ascii="Century Gothic" w:hAnsi="Century Gothic"/>
          <w:bCs/>
        </w:rPr>
        <w:t xml:space="preserve">et vente </w:t>
      </w:r>
      <w:r>
        <w:rPr>
          <w:rFonts w:ascii="Century Gothic" w:hAnsi="Century Gothic"/>
          <w:bCs/>
        </w:rPr>
        <w:t>du bois dans les espaces de conservation pour subvenir à leurs besoins</w:t>
      </w:r>
      <w:r>
        <w:rPr>
          <w:rFonts w:ascii="Century Gothic" w:hAnsi="Century Gothic"/>
          <w:bCs/>
        </w:rPr>
        <w:t>.</w:t>
      </w:r>
      <w:r>
        <w:rPr>
          <w:rFonts w:ascii="Century Gothic" w:hAnsi="Century Gothic"/>
          <w:bCs/>
        </w:rPr>
        <w:t xml:space="preserve"> </w:t>
      </w:r>
      <w:r>
        <w:rPr>
          <w:rFonts w:ascii="Century Gothic" w:hAnsi="Century Gothic"/>
          <w:b/>
          <w:bCs/>
        </w:rPr>
        <w:t>La méthode</w:t>
      </w:r>
      <w:r>
        <w:rPr>
          <w:rFonts w:ascii="Century Gothic" w:hAnsi="Century Gothic"/>
          <w:bCs/>
        </w:rPr>
        <w:t xml:space="preserve"> consistera à</w:t>
      </w:r>
      <w:r>
        <w:rPr>
          <w:rFonts w:ascii="Century Gothic" w:hAnsi="Century Gothic"/>
        </w:rPr>
        <w:t xml:space="preserve"> l’</w:t>
      </w:r>
      <w:r>
        <w:rPr>
          <w:rFonts w:ascii="Century Gothic" w:hAnsi="Century Gothic"/>
        </w:rPr>
        <w:t xml:space="preserve">obtention d’une </w:t>
      </w:r>
      <w:r>
        <w:rPr>
          <w:rFonts w:ascii="Century Gothic" w:hAnsi="Century Gothic"/>
        </w:rPr>
        <w:t>a</w:t>
      </w:r>
      <w:r>
        <w:rPr>
          <w:rFonts w:ascii="Century Gothic" w:hAnsi="Century Gothic"/>
        </w:rPr>
        <w:t xml:space="preserve">ttestation de Possession Foncière </w:t>
      </w:r>
      <w:r>
        <w:rPr>
          <w:rFonts w:ascii="Century Gothic" w:hAnsi="Century Gothic"/>
        </w:rPr>
        <w:t xml:space="preserve">en milieu rural </w:t>
      </w:r>
      <w:r>
        <w:rPr>
          <w:rFonts w:ascii="Century Gothic" w:hAnsi="Century Gothic"/>
        </w:rPr>
        <w:t xml:space="preserve">(APFR) du site pour la coopérative, le reboisement </w:t>
      </w:r>
      <w:r>
        <w:rPr>
          <w:rFonts w:ascii="Century Gothic" w:hAnsi="Century Gothic"/>
        </w:rPr>
        <w:t>de</w:t>
      </w:r>
      <w:r>
        <w:rPr>
          <w:rFonts w:ascii="Century Gothic" w:hAnsi="Century Gothic"/>
        </w:rPr>
        <w:t xml:space="preserve"> plants sous forme de haie, </w:t>
      </w:r>
      <w:r>
        <w:rPr>
          <w:rFonts w:ascii="Century Gothic" w:hAnsi="Century Gothic"/>
        </w:rPr>
        <w:t>l</w:t>
      </w:r>
      <w:r>
        <w:rPr>
          <w:rFonts w:ascii="Century Gothic" w:hAnsi="Century Gothic"/>
        </w:rPr>
        <w:t>a constru</w:t>
      </w:r>
      <w:r>
        <w:rPr>
          <w:rFonts w:ascii="Century Gothic" w:hAnsi="Century Gothic"/>
        </w:rPr>
        <w:t>ction d’une latrine</w:t>
      </w:r>
      <w:r>
        <w:rPr>
          <w:rFonts w:ascii="Century Gothic" w:hAnsi="Century Gothic"/>
        </w:rPr>
        <w:t xml:space="preserve"> (4m²)</w:t>
      </w:r>
      <w:r>
        <w:rPr>
          <w:rFonts w:ascii="Century Gothic" w:hAnsi="Century Gothic"/>
        </w:rPr>
        <w:t>, la clôture du</w:t>
      </w:r>
      <w:r>
        <w:rPr>
          <w:rFonts w:ascii="Century Gothic" w:hAnsi="Century Gothic"/>
        </w:rPr>
        <w:t xml:space="preserve"> site avec </w:t>
      </w:r>
      <w:r>
        <w:rPr>
          <w:rFonts w:ascii="Century Gothic" w:hAnsi="Century Gothic"/>
        </w:rPr>
        <w:t>du</w:t>
      </w:r>
      <w:r>
        <w:rPr>
          <w:rFonts w:ascii="Century Gothic" w:hAnsi="Century Gothic"/>
        </w:rPr>
        <w:t xml:space="preserve"> grillage</w:t>
      </w:r>
      <w:r>
        <w:rPr>
          <w:rFonts w:ascii="Century Gothic" w:hAnsi="Century Gothic"/>
        </w:rPr>
        <w:t xml:space="preserve"> (80 poteaux fixés dans les trous de </w:t>
      </w:r>
      <w:r>
        <w:rPr>
          <w:rFonts w:ascii="Century Gothic" w:hAnsi="Century Gothic"/>
        </w:rPr>
        <w:t xml:space="preserve">225 </w:t>
      </w:r>
      <w:r>
        <w:rPr>
          <w:rFonts w:ascii="Century Gothic" w:hAnsi="Century Gothic"/>
        </w:rPr>
        <w:t xml:space="preserve">cm² soit un total </w:t>
      </w:r>
      <w:r>
        <w:rPr>
          <w:rFonts w:ascii="Century Gothic" w:hAnsi="Century Gothic"/>
        </w:rPr>
        <w:t>18 </w:t>
      </w:r>
      <w:r>
        <w:rPr>
          <w:rFonts w:ascii="Century Gothic" w:hAnsi="Century Gothic"/>
        </w:rPr>
        <w:t>000</w:t>
      </w:r>
      <w:r>
        <w:rPr>
          <w:rFonts w:ascii="Century Gothic" w:hAnsi="Century Gothic"/>
        </w:rPr>
        <w:t xml:space="preserve"> </w:t>
      </w:r>
      <w:r>
        <w:rPr>
          <w:rFonts w:ascii="Century Gothic" w:hAnsi="Century Gothic"/>
        </w:rPr>
        <w:t>cm</w:t>
      </w:r>
      <w:r>
        <w:rPr>
          <w:rFonts w:ascii="Century Gothic" w:hAnsi="Century Gothic"/>
        </w:rPr>
        <w:t>²</w:t>
      </w:r>
      <w:r>
        <w:rPr>
          <w:rFonts w:ascii="Century Gothic" w:hAnsi="Century Gothic"/>
        </w:rPr>
        <w:t xml:space="preserve"> </w:t>
      </w:r>
      <w:r>
        <w:rPr>
          <w:rFonts w:ascii="Century Gothic" w:hAnsi="Century Gothic"/>
        </w:rPr>
        <w:t>(1</w:t>
      </w:r>
      <w:r>
        <w:rPr>
          <w:rFonts w:ascii="Century Gothic" w:hAnsi="Century Gothic"/>
        </w:rPr>
        <w:t>,</w:t>
      </w:r>
      <w:r>
        <w:rPr>
          <w:rFonts w:ascii="Century Gothic" w:hAnsi="Century Gothic"/>
        </w:rPr>
        <w:t>8</w:t>
      </w:r>
      <w:r>
        <w:rPr>
          <w:rFonts w:ascii="Century Gothic" w:hAnsi="Century Gothic"/>
        </w:rPr>
        <w:t>m²)</w:t>
      </w:r>
      <w:r>
        <w:rPr>
          <w:rFonts w:ascii="Century Gothic" w:hAnsi="Century Gothic"/>
        </w:rPr>
        <w:t>.  Ensuite</w:t>
      </w:r>
      <w:r>
        <w:rPr>
          <w:rFonts w:ascii="Century Gothic" w:hAnsi="Century Gothic"/>
        </w:rPr>
        <w:t xml:space="preserve">, la réalisation </w:t>
      </w:r>
      <w:r>
        <w:rPr>
          <w:rFonts w:ascii="Century Gothic" w:hAnsi="Century Gothic"/>
        </w:rPr>
        <w:t>de</w:t>
      </w:r>
      <w:r>
        <w:rPr>
          <w:rFonts w:ascii="Century Gothic" w:hAnsi="Century Gothic"/>
        </w:rPr>
        <w:t xml:space="preserve"> planches de production de 10 m² chacune, la réalisation d’un forage positif, l’équipement du forage d'un système de pompage avec module solaire, la réalisation de </w:t>
      </w:r>
      <w:r>
        <w:rPr>
          <w:rFonts w:ascii="Century Gothic" w:hAnsi="Century Gothic"/>
        </w:rPr>
        <w:t xml:space="preserve">5 </w:t>
      </w:r>
      <w:r>
        <w:rPr>
          <w:rFonts w:ascii="Century Gothic" w:hAnsi="Century Gothic"/>
        </w:rPr>
        <w:t xml:space="preserve">bassins de stockages d'eau </w:t>
      </w:r>
      <w:r>
        <w:rPr>
          <w:rFonts w:ascii="Century Gothic" w:hAnsi="Century Gothic"/>
        </w:rPr>
        <w:t>(10m²)</w:t>
      </w:r>
      <w:r>
        <w:rPr>
          <w:rFonts w:ascii="Century Gothic" w:hAnsi="Century Gothic"/>
        </w:rPr>
        <w:t>, le raccorde</w:t>
      </w:r>
      <w:r>
        <w:rPr>
          <w:rFonts w:ascii="Century Gothic" w:hAnsi="Century Gothic"/>
        </w:rPr>
        <w:t>ment</w:t>
      </w:r>
      <w:r>
        <w:rPr>
          <w:rFonts w:ascii="Century Gothic" w:hAnsi="Century Gothic"/>
        </w:rPr>
        <w:t xml:space="preserve"> du forage aux bassins de stockage. Afin de permettre au comité de gestion de démarrer ses activités, un fonds de roulement sera octroyé. </w:t>
      </w:r>
      <w:r>
        <w:rPr>
          <w:rFonts w:ascii="Century Gothic" w:hAnsi="Century Gothic"/>
          <w:b/>
        </w:rPr>
        <w:t>Le résultat attendu</w:t>
      </w:r>
      <w:r>
        <w:rPr>
          <w:rFonts w:ascii="Century Gothic" w:hAnsi="Century Gothic"/>
        </w:rPr>
        <w:t xml:space="preserve"> de l’activité est qu’un jardin maraîcher est mis en place et fonctionnel. </w:t>
      </w:r>
      <w:r>
        <w:rPr>
          <w:rFonts w:ascii="Century Gothic" w:hAnsi="Century Gothic"/>
          <w:b/>
        </w:rPr>
        <w:t>Les moyens physiques</w:t>
      </w:r>
      <w:r>
        <w:rPr>
          <w:rFonts w:ascii="Century Gothic" w:hAnsi="Century Gothic"/>
        </w:rPr>
        <w:t xml:space="preserve"> se résumeront en matériels de maraîchage et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constitués de l’expertise du service de l’agriculture pour le suivi conseil et de la main d’œuvre des femmes.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Zecco. L’organisation et la gestion de l’activité sera faite par le maire qui assure le rôle de coordination de l’activité en collaboration avec le service de l’agriculture et la coopérative féminine </w:t>
      </w:r>
      <w:r>
        <w:rPr>
          <w:rFonts w:ascii="Century Gothic" w:hAnsi="Century Gothic"/>
        </w:rPr>
        <w:t>Song Taaba Maboltenga.</w:t>
      </w:r>
      <w:r>
        <w:rPr>
          <w:rFonts w:ascii="Century Gothic" w:hAnsi="Century Gothic"/>
        </w:rPr>
        <w:t xml:space="preserve"> </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bCs/>
        </w:rPr>
      </w:pPr>
      <w:r>
        <w:rPr>
          <w:rFonts w:ascii="Century Gothic" w:hAnsi="Century Gothic"/>
          <w:b/>
          <w:i/>
        </w:rPr>
        <w:t>4.1.2.</w:t>
      </w:r>
      <w:r>
        <w:rPr>
          <w:rFonts w:ascii="Century Gothic" w:hAnsi="Century Gothic"/>
          <w:b/>
          <w:i/>
        </w:rPr>
        <w:t>3</w:t>
      </w:r>
      <w:r>
        <w:rPr>
          <w:rFonts w:ascii="Century Gothic" w:hAnsi="Century Gothic"/>
          <w:b/>
          <w:bCs/>
        </w:rPr>
        <w:t>. Activités de renforcement des capacités</w:t>
      </w:r>
      <w:r>
        <w:rPr>
          <w:rFonts w:ascii="Century Gothic" w:hAnsi="Century Gothic"/>
          <w:b/>
          <w:bCs/>
        </w:rPr>
        <w:t xml:space="preserve"> d’adaptation aux activités et responsabilités </w:t>
      </w:r>
      <w:r>
        <w:rPr>
          <w:rFonts w:ascii="Century Gothic" w:hAnsi="Century Gothic"/>
          <w:b/>
          <w:i/>
        </w:rPr>
        <w:t xml:space="preserve">dans l’espace de conservation de </w:t>
      </w:r>
      <w:r>
        <w:rPr>
          <w:rFonts w:ascii="Century Gothic" w:hAnsi="Century Gothic"/>
          <w:b/>
          <w:i/>
        </w:rPr>
        <w:t>Gonré</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cs="Arial" w:hAnsi="Century Gothic"/>
          <w:i/>
          <w:u w:val="single"/>
        </w:rPr>
      </w:pPr>
      <w:r>
        <w:rPr>
          <w:rFonts w:ascii="Century Gothic" w:hAnsi="Century Gothic"/>
          <w:i/>
          <w:u w:val="single"/>
        </w:rPr>
        <w:t>Activité 4.1.2.</w:t>
      </w:r>
      <w:r>
        <w:rPr>
          <w:rFonts w:ascii="Century Gothic" w:hAnsi="Century Gothic"/>
          <w:i/>
          <w:u w:val="single"/>
        </w:rPr>
        <w:t>3</w:t>
      </w:r>
      <w:r>
        <w:rPr>
          <w:rFonts w:ascii="Century Gothic" w:hAnsi="Century Gothic"/>
          <w:i/>
          <w:u w:val="single"/>
        </w:rPr>
        <w:t>.1</w:t>
      </w:r>
      <w:r>
        <w:rPr>
          <w:rFonts w:ascii="Century Gothic" w:hAnsi="Century Gothic"/>
          <w:i/>
          <w:u w:val="single"/>
        </w:rPr>
        <w:t xml:space="preserve"> : </w:t>
      </w:r>
      <w:r>
        <w:rPr>
          <w:rFonts w:ascii="Century Gothic" w:cs="Arial" w:hAnsi="Century Gothic"/>
          <w:i/>
          <w:u w:val="single"/>
        </w:rPr>
        <w:t xml:space="preserve">Former </w:t>
      </w:r>
      <w:r>
        <w:rPr>
          <w:rFonts w:ascii="Century Gothic" w:cs="Arial" w:hAnsi="Century Gothic"/>
          <w:i/>
          <w:u w:val="single"/>
        </w:rPr>
        <w:t>3</w:t>
      </w:r>
      <w:r>
        <w:rPr>
          <w:rFonts w:ascii="Century Gothic" w:cs="Arial" w:hAnsi="Century Gothic"/>
          <w:i/>
          <w:u w:val="single"/>
        </w:rPr>
        <w:t xml:space="preserve">0 élus locaux et leaders villageois de la commune de </w:t>
      </w:r>
      <w:r>
        <w:rPr>
          <w:rFonts w:ascii="Century Gothic" w:cs="Arial" w:hAnsi="Century Gothic"/>
          <w:i/>
          <w:u w:val="single"/>
        </w:rPr>
        <w:t xml:space="preserve">Zecco </w:t>
      </w:r>
      <w:r>
        <w:rPr>
          <w:rFonts w:ascii="Century Gothic" w:cs="Arial" w:hAnsi="Century Gothic"/>
          <w:i/>
          <w:u w:val="single"/>
        </w:rPr>
        <w:t>sur la gouvernance locale et en législations environnementales</w:t>
      </w:r>
    </w:p>
    <w:p>
      <w:pPr>
        <w:pStyle w:val="style0"/>
        <w:tabs>
          <w:tab w:val="left" w:leader="none" w:pos="9214"/>
          <w:tab w:val="left" w:leader="none" w:pos="9639"/>
        </w:tabs>
        <w:jc w:val="both"/>
        <w:rPr>
          <w:rFonts w:ascii="Century Gothic" w:cs="Arial" w:hAnsi="Century Gothic"/>
          <w:i/>
          <w:u w:val="single"/>
        </w:rPr>
      </w:pPr>
    </w:p>
    <w:p>
      <w:pPr>
        <w:pStyle w:val="style0"/>
        <w:tabs>
          <w:tab w:val="left" w:leader="none" w:pos="9214"/>
          <w:tab w:val="left" w:leader="none" w:pos="9639"/>
        </w:tabs>
        <w:jc w:val="both"/>
        <w:rPr>
          <w:rFonts w:ascii="Century Gothic" w:hAnsi="Century Gothic"/>
          <w:i/>
          <w:u w:val="single"/>
        </w:rPr>
      </w:pPr>
      <w:r>
        <w:rPr>
          <w:rFonts w:ascii="Century Gothic" w:cs="Arial" w:hAnsi="Century Gothic"/>
          <w:b/>
        </w:rPr>
        <w:t>L’objectif</w:t>
      </w:r>
      <w:r>
        <w:rPr>
          <w:rFonts w:ascii="Century Gothic" w:cs="Arial" w:hAnsi="Century Gothic"/>
        </w:rPr>
        <w:t xml:space="preserve"> de cette activité est de contribuer </w:t>
      </w:r>
      <w:r>
        <w:rPr>
          <w:rFonts w:ascii="Century Gothic" w:cs="Arial" w:hAnsi="Century Gothic"/>
        </w:rPr>
        <w:t xml:space="preserve">à </w:t>
      </w:r>
      <w:r>
        <w:rPr>
          <w:rFonts w:ascii="Century Gothic" w:cs="Arial" w:hAnsi="Century Gothic"/>
        </w:rPr>
        <w:t xml:space="preserve">l’amélioration des connaissances et des pratiques de conseillers municipaux en matière de prise de décisions sur les questions environnementales. </w:t>
      </w:r>
      <w:r>
        <w:rPr>
          <w:rFonts w:ascii="Century Gothic" w:cs="Arial" w:hAnsi="Century Gothic"/>
          <w:b/>
        </w:rPr>
        <w:t>L</w:t>
      </w:r>
      <w:r>
        <w:rPr>
          <w:rFonts w:ascii="Century Gothic" w:cs="Arial" w:hAnsi="Century Gothic"/>
          <w:b/>
        </w:rPr>
        <w:t xml:space="preserve">a méthode </w:t>
      </w:r>
      <w:r>
        <w:rPr>
          <w:rFonts w:ascii="Century Gothic" w:cs="Arial" w:hAnsi="Century Gothic"/>
        </w:rPr>
        <w:t xml:space="preserve">va reposer sur </w:t>
      </w:r>
      <w:r>
        <w:rPr>
          <w:rFonts w:ascii="Century Gothic" w:cs="Arial" w:hAnsi="Century Gothic"/>
        </w:rPr>
        <w:t xml:space="preserve">l’élaboration des </w:t>
      </w:r>
      <w:r>
        <w:rPr>
          <w:rFonts w:ascii="Century Gothic" w:cs="Arial" w:hAnsi="Century Gothic"/>
        </w:rPr>
        <w:t>termes de référence</w:t>
      </w:r>
      <w:r>
        <w:rPr>
          <w:rFonts w:ascii="Century Gothic" w:cs="Arial" w:hAnsi="Century Gothic"/>
        </w:rPr>
        <w:t>, la recherche des consultants formateurs et l’organ</w:t>
      </w:r>
      <w:r>
        <w:rPr>
          <w:rFonts w:ascii="Century Gothic" w:cs="Arial" w:hAnsi="Century Gothic"/>
        </w:rPr>
        <w:t>isation pratique de formation</w:t>
      </w:r>
      <w:r>
        <w:rPr>
          <w:rFonts w:ascii="Century Gothic" w:cs="Arial" w:hAnsi="Century Gothic"/>
        </w:rPr>
        <w:t xml:space="preserve">. </w:t>
      </w:r>
      <w:r>
        <w:rPr>
          <w:rFonts w:ascii="Century Gothic" w:cs="Arial" w:hAnsi="Century Gothic"/>
          <w:b/>
        </w:rPr>
        <w:t>Le résultat attendu</w:t>
      </w:r>
      <w:r>
        <w:rPr>
          <w:rFonts w:ascii="Century Gothic" w:cs="Arial" w:hAnsi="Century Gothic"/>
        </w:rPr>
        <w:t xml:space="preserve"> est que la commune de </w:t>
      </w:r>
      <w:r>
        <w:rPr>
          <w:rFonts w:ascii="Century Gothic" w:cs="Arial" w:hAnsi="Century Gothic"/>
        </w:rPr>
        <w:t>Zecco</w:t>
      </w:r>
      <w:r>
        <w:rPr>
          <w:rFonts w:ascii="Century Gothic" w:cs="Arial" w:hAnsi="Century Gothic"/>
        </w:rPr>
        <w:t xml:space="preserve"> dispose des conseillers </w:t>
      </w:r>
      <w:r>
        <w:rPr>
          <w:rFonts w:ascii="Century Gothic" w:cs="Arial" w:hAnsi="Century Gothic"/>
        </w:rPr>
        <w:t xml:space="preserve">municipaux et leaders villageois </w:t>
      </w:r>
      <w:r>
        <w:rPr>
          <w:rFonts w:ascii="Century Gothic" w:cs="Arial" w:hAnsi="Century Gothic"/>
        </w:rPr>
        <w:t xml:space="preserve">outillés et aptes à prendre des décisions éclairées sur la gestion des ressources naturelles. </w:t>
      </w:r>
      <w:r>
        <w:rPr>
          <w:rFonts w:ascii="Century Gothic" w:cs="Arial" w:hAnsi="Century Gothic"/>
          <w:b/>
        </w:rPr>
        <w:t>Les moyens humains</w:t>
      </w:r>
      <w:r>
        <w:rPr>
          <w:rFonts w:ascii="Century Gothic" w:cs="Arial" w:hAnsi="Century Gothic"/>
        </w:rPr>
        <w:t xml:space="preserve"> sont constitués de l’expertise technique d’un spécialiste en renforcement sur les législations environnementales et la gouvernance locale des ressources naturelles. </w:t>
      </w:r>
      <w:r>
        <w:rPr>
          <w:rFonts w:ascii="Century Gothic" w:cs="Arial" w:hAnsi="Century Gothic"/>
          <w:b/>
        </w:rPr>
        <w:t>Les moyens matériels</w:t>
      </w:r>
      <w:r>
        <w:rPr>
          <w:rFonts w:ascii="Century Gothic" w:cs="Arial" w:hAnsi="Century Gothic"/>
        </w:rPr>
        <w:t xml:space="preserve"> seront constitués de fournitures et matériels de formation. </w:t>
      </w:r>
      <w:r>
        <w:rPr>
          <w:rFonts w:ascii="Century Gothic" w:cs="Arial" w:hAnsi="Century Gothic"/>
          <w:b/>
        </w:rPr>
        <w:t>Les moyens financiers</w:t>
      </w:r>
      <w:r>
        <w:rPr>
          <w:rFonts w:ascii="Century Gothic" w:cs="Arial" w:hAnsi="Century Gothic"/>
        </w:rPr>
        <w:t xml:space="preserve"> seront de ressources financières pour la prise en charge du formateur et l’organisation pratique de la formation </w:t>
      </w:r>
      <w:r>
        <w:rPr>
          <w:rFonts w:ascii="Century Gothic" w:hAnsi="Century Gothic"/>
        </w:rPr>
        <w:t xml:space="preserve">à la charge du PDIC/REDD+ de </w:t>
      </w:r>
      <w:r>
        <w:rPr>
          <w:rFonts w:ascii="Century Gothic" w:hAnsi="Century Gothic"/>
        </w:rPr>
        <w:t>Zecco</w:t>
      </w:r>
      <w:r>
        <w:rPr>
          <w:rFonts w:ascii="Century Gothic" w:cs="Arial" w:hAnsi="Century Gothic"/>
        </w:rPr>
        <w:t>. L’organisation et la gestion de l’activité sera faite par le maire qui assure le rôle de coordination en collaboration avec le formateur et les conseillers.</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cs="Arial" w:hAnsi="Century Gothic"/>
          <w:i/>
          <w:color w:val="000000"/>
          <w:u w:val="single"/>
        </w:rPr>
      </w:pPr>
      <w:r>
        <w:rPr>
          <w:rFonts w:ascii="Century Gothic" w:hAnsi="Century Gothic"/>
          <w:i/>
          <w:u w:val="single"/>
        </w:rPr>
        <w:t>Activité 4.1.2.</w:t>
      </w:r>
      <w:r>
        <w:rPr>
          <w:rFonts w:ascii="Century Gothic" w:hAnsi="Century Gothic"/>
          <w:i/>
          <w:u w:val="single"/>
        </w:rPr>
        <w:t>3</w:t>
      </w:r>
      <w:r>
        <w:rPr>
          <w:rFonts w:ascii="Century Gothic" w:hAnsi="Century Gothic"/>
          <w:i/>
          <w:u w:val="single"/>
        </w:rPr>
        <w:t xml:space="preserve">.2 : </w:t>
      </w:r>
      <w:r>
        <w:rPr>
          <w:rFonts w:ascii="Century Gothic" w:cs="Arial" w:hAnsi="Century Gothic"/>
          <w:i/>
          <w:color w:val="000000"/>
          <w:u w:val="single"/>
        </w:rPr>
        <w:t xml:space="preserve">Organiser </w:t>
      </w:r>
      <w:r>
        <w:rPr>
          <w:rFonts w:ascii="Century Gothic" w:cs="Arial" w:hAnsi="Century Gothic"/>
          <w:i/>
          <w:color w:val="000000"/>
          <w:u w:val="single"/>
        </w:rPr>
        <w:t>onze</w:t>
      </w:r>
      <w:r>
        <w:rPr>
          <w:rFonts w:ascii="Century Gothic" w:cs="Arial" w:hAnsi="Century Gothic"/>
          <w:i/>
          <w:color w:val="000000"/>
          <w:u w:val="single"/>
        </w:rPr>
        <w:t xml:space="preserve"> (</w:t>
      </w:r>
      <w:r>
        <w:rPr>
          <w:rFonts w:ascii="Century Gothic" w:cs="Arial" w:hAnsi="Century Gothic"/>
          <w:i/>
          <w:color w:val="000000"/>
          <w:u w:val="single"/>
        </w:rPr>
        <w:t>11</w:t>
      </w:r>
      <w:r>
        <w:rPr>
          <w:rFonts w:ascii="Century Gothic" w:cs="Arial" w:hAnsi="Century Gothic"/>
          <w:i/>
          <w:color w:val="000000"/>
          <w:u w:val="single"/>
        </w:rPr>
        <w:t xml:space="preserve">) séances d'information et de sensibilisation sur la sécurisation foncière dans la commune de </w:t>
      </w:r>
      <w:r>
        <w:rPr>
          <w:rFonts w:ascii="Century Gothic" w:cs="Arial" w:hAnsi="Century Gothic"/>
          <w:i/>
          <w:color w:val="000000"/>
          <w:u w:val="single"/>
        </w:rPr>
        <w:t>Zecco</w:t>
      </w:r>
    </w:p>
    <w:p>
      <w:pPr>
        <w:pStyle w:val="style0"/>
        <w:tabs>
          <w:tab w:val="left" w:leader="none" w:pos="9214"/>
          <w:tab w:val="left" w:leader="none" w:pos="9639"/>
        </w:tabs>
        <w:jc w:val="both"/>
        <w:rPr>
          <w:rFonts w:ascii="Century Gothic" w:cs="Arial" w:hAnsi="Century Gothic"/>
          <w:i/>
          <w:color w:val="000000"/>
          <w:u w:val="single"/>
        </w:rPr>
      </w:pPr>
    </w:p>
    <w:p>
      <w:pPr>
        <w:pStyle w:val="style0"/>
        <w:tabs>
          <w:tab w:val="left" w:leader="none" w:pos="9214"/>
          <w:tab w:val="left" w:leader="none" w:pos="9639"/>
        </w:tabs>
        <w:jc w:val="both"/>
        <w:rPr>
          <w:rFonts w:ascii="Century Gothic" w:hAnsi="Century Gothic"/>
          <w:i/>
          <w:u w:val="single"/>
        </w:rPr>
      </w:pPr>
      <w:r>
        <w:rPr>
          <w:rFonts w:ascii="Century Gothic" w:hAnsi="Century Gothic"/>
          <w:b/>
          <w:bCs/>
          <w:iCs/>
        </w:rPr>
        <w:t>L’objectif de l’activité</w:t>
      </w:r>
      <w:r>
        <w:rPr>
          <w:rFonts w:ascii="Century Gothic" w:hAnsi="Century Gothic"/>
          <w:bCs/>
        </w:rPr>
        <w:t xml:space="preserve"> est de renforcer </w:t>
      </w:r>
      <w:r>
        <w:rPr>
          <w:rFonts w:ascii="Century Gothic" w:hAnsi="Century Gothic"/>
          <w:bCs/>
        </w:rPr>
        <w:t>l</w:t>
      </w:r>
      <w:r>
        <w:rPr>
          <w:rFonts w:ascii="Century Gothic" w:hAnsi="Century Gothic"/>
          <w:bCs/>
        </w:rPr>
        <w:t>es capacités des populations riveraines sur l</w:t>
      </w:r>
      <w:r>
        <w:rPr>
          <w:rFonts w:ascii="Century Gothic" w:hAnsi="Century Gothic"/>
          <w:bCs/>
        </w:rPr>
        <w:t>’importance de la sécurisation foncière dans un contexte de pression et de conflits fonciers ouverts et latents</w:t>
      </w:r>
      <w:r>
        <w:rPr>
          <w:rFonts w:ascii="Century Gothic" w:hAnsi="Century Gothic"/>
          <w:bCs/>
        </w:rPr>
        <w:t xml:space="preserve">. Cette activité vient renforcer la formation des </w:t>
      </w:r>
      <w:r>
        <w:rPr>
          <w:rFonts w:ascii="Century Gothic" w:hAnsi="Century Gothic"/>
          <w:bCs/>
        </w:rPr>
        <w:t>élus locaux et leaders villageois sur la gouvernance locale des ressources naturelles</w:t>
      </w:r>
      <w:r>
        <w:rPr>
          <w:rFonts w:ascii="Century Gothic" w:hAnsi="Century Gothic"/>
          <w:bCs/>
        </w:rPr>
        <w:t>.</w:t>
      </w:r>
      <w:r>
        <w:rPr>
          <w:rFonts w:ascii="Century Gothic" w:hAnsi="Century Gothic"/>
          <w:bCs/>
        </w:rPr>
        <w:t xml:space="preserve"> </w:t>
      </w:r>
      <w:r>
        <w:rPr>
          <w:rFonts w:ascii="Century Gothic" w:hAnsi="Century Gothic"/>
          <w:bCs/>
        </w:rPr>
        <w:t>L</w:t>
      </w:r>
      <w:r>
        <w:rPr>
          <w:rFonts w:ascii="Century Gothic" w:hAnsi="Century Gothic"/>
          <w:bCs/>
        </w:rPr>
        <w:t xml:space="preserve">es séances seront animées par le service foncier de la Commune en collaboration avec les services techniques et les CVD des villages. </w:t>
      </w:r>
      <w:r>
        <w:rPr>
          <w:rFonts w:ascii="Century Gothic" w:hAnsi="Century Gothic"/>
          <w:b/>
          <w:bCs/>
        </w:rPr>
        <w:t>La méthode</w:t>
      </w:r>
      <w:r>
        <w:rPr>
          <w:rFonts w:ascii="Century Gothic" w:hAnsi="Century Gothic"/>
        </w:rPr>
        <w:t> va se reposer sur la sélection des thématiques, la préparation et l’animation des séances villageoises suivie de question-réponses.</w:t>
      </w:r>
      <w:r>
        <w:rPr>
          <w:rFonts w:ascii="Century Gothic" w:hAnsi="Century Gothic"/>
        </w:rPr>
        <w:t xml:space="preserve"> </w:t>
      </w:r>
      <w:r>
        <w:rPr>
          <w:rFonts w:ascii="Century Gothic" w:hAnsi="Century Gothic"/>
          <w:b/>
          <w:bCs/>
        </w:rPr>
        <w:t>Les résultats attendus </w:t>
      </w:r>
      <w:r>
        <w:rPr>
          <w:rFonts w:ascii="Century Gothic" w:hAnsi="Century Gothic"/>
          <w:bCs/>
        </w:rPr>
        <w:t xml:space="preserve">sont qu’au moins </w:t>
      </w:r>
      <w:r>
        <w:rPr>
          <w:rFonts w:ascii="Century Gothic" w:hAnsi="Century Gothic"/>
          <w:bCs/>
        </w:rPr>
        <w:t>cinq cent</w:t>
      </w:r>
      <w:r>
        <w:rPr>
          <w:rFonts w:ascii="Century Gothic" w:hAnsi="Century Gothic"/>
          <w:bCs/>
        </w:rPr>
        <w:t xml:space="preserve"> (</w:t>
      </w:r>
      <w:r>
        <w:rPr>
          <w:rFonts w:ascii="Century Gothic" w:hAnsi="Century Gothic"/>
          <w:bCs/>
        </w:rPr>
        <w:t>5</w:t>
      </w:r>
      <w:r>
        <w:rPr>
          <w:rFonts w:ascii="Century Gothic" w:hAnsi="Century Gothic"/>
          <w:bCs/>
        </w:rPr>
        <w:t xml:space="preserve">00) personnes </w:t>
      </w:r>
      <w:r>
        <w:rPr>
          <w:rFonts w:ascii="Century Gothic" w:hAnsi="Century Gothic"/>
          <w:bCs/>
        </w:rPr>
        <w:t xml:space="preserve">de la commune de </w:t>
      </w:r>
      <w:r>
        <w:rPr>
          <w:rFonts w:ascii="Century Gothic" w:hAnsi="Century Gothic"/>
          <w:bCs/>
        </w:rPr>
        <w:t>Zecco</w:t>
      </w:r>
      <w:r>
        <w:rPr>
          <w:rFonts w:ascii="Century Gothic" w:hAnsi="Century Gothic"/>
          <w:bCs/>
        </w:rPr>
        <w:t xml:space="preserve"> renforcent leurs connaissances sur l</w:t>
      </w:r>
      <w:r>
        <w:rPr>
          <w:rFonts w:ascii="Century Gothic" w:hAnsi="Century Gothic"/>
          <w:bCs/>
        </w:rPr>
        <w:t>’importance de la sécurisation foncière et les procédures d’acquisition des documents de sécurisation foncière</w:t>
      </w:r>
      <w:r>
        <w:rPr>
          <w:rFonts w:ascii="Century Gothic" w:hAnsi="Century Gothic"/>
          <w:bCs/>
        </w:rPr>
        <w:t xml:space="preserve">. </w:t>
      </w:r>
      <w:r>
        <w:rPr>
          <w:rFonts w:ascii="Century Gothic" w:hAnsi="Century Gothic"/>
          <w:b/>
        </w:rPr>
        <w:t>Les moyens matériels</w:t>
      </w:r>
      <w:r>
        <w:rPr>
          <w:rFonts w:ascii="Century Gothic" w:hAnsi="Century Gothic"/>
        </w:rPr>
        <w:t xml:space="preserve"> se résumeront en matériels de sonorisation, chaises pour les animateurs des séances. </w:t>
      </w:r>
      <w:r>
        <w:rPr>
          <w:rFonts w:ascii="Century Gothic" w:hAnsi="Century Gothic"/>
          <w:b/>
        </w:rPr>
        <w:t>Les moyens humains</w:t>
      </w:r>
      <w:r>
        <w:rPr>
          <w:rFonts w:ascii="Century Gothic" w:hAnsi="Century Gothic"/>
          <w:b/>
        </w:rPr>
        <w:t xml:space="preserve"> </w:t>
      </w:r>
      <w:r>
        <w:rPr>
          <w:rFonts w:ascii="Century Gothic" w:hAnsi="Century Gothic"/>
        </w:rPr>
        <w:t xml:space="preserve">seront constitués de l’expertise du service foncier et des personnes ressource sur les chartes foncières. </w:t>
      </w:r>
      <w:r>
        <w:rPr>
          <w:rFonts w:ascii="Century Gothic" w:hAnsi="Century Gothic"/>
          <w:b/>
        </w:rPr>
        <w:t>Les moyens financiers</w:t>
      </w:r>
      <w:r>
        <w:rPr>
          <w:rFonts w:ascii="Century Gothic" w:hAnsi="Century Gothic"/>
        </w:rPr>
        <w:t xml:space="preserve"> seront constitués de frais de prise en charge des animateurs de séances, de rafraîchissement lors des séances. Ces moyens financiers seront assurés par le budget </w:t>
      </w:r>
      <w:r>
        <w:rPr>
          <w:rFonts w:ascii="Century Gothic" w:hAnsi="Century Gothic"/>
        </w:rPr>
        <w:t xml:space="preserve">du PDIC/REDD+ de </w:t>
      </w:r>
      <w:r>
        <w:rPr>
          <w:rFonts w:ascii="Century Gothic" w:hAnsi="Century Gothic"/>
        </w:rPr>
        <w:t>Zecco</w:t>
      </w:r>
      <w:r>
        <w:rPr>
          <w:rFonts w:ascii="Century Gothic" w:hAnsi="Century Gothic"/>
        </w:rPr>
        <w:t xml:space="preserve">. </w:t>
      </w:r>
      <w:r>
        <w:rPr>
          <w:rFonts w:ascii="Century Gothic" w:cs="Arial" w:hAnsi="Century Gothic"/>
        </w:rPr>
        <w:t>L’organisation et la gestion de l’activité sera faite par le maire qui assure le rôle de coordination en collaboration avec l’agent domanial et les services techniques et les CVD des villages.</w:t>
      </w:r>
    </w:p>
    <w:p>
      <w:pPr>
        <w:pStyle w:val="style0"/>
        <w:tabs>
          <w:tab w:val="left" w:leader="none" w:pos="9214"/>
          <w:tab w:val="left" w:leader="none" w:pos="9639"/>
        </w:tabs>
        <w:jc w:val="both"/>
        <w:rPr>
          <w:rFonts w:ascii="Century Gothic" w:hAnsi="Century Gothic"/>
        </w:rPr>
      </w:pPr>
    </w:p>
    <w:p>
      <w:pPr>
        <w:pStyle w:val="style0"/>
        <w:tabs>
          <w:tab w:val="left" w:leader="none" w:pos="1701"/>
          <w:tab w:val="left" w:leader="none" w:pos="9214"/>
          <w:tab w:val="left" w:leader="none" w:pos="9639"/>
        </w:tabs>
        <w:suppressAutoHyphens/>
        <w:jc w:val="both"/>
        <w:rPr>
          <w:rFonts w:ascii="Century Gothic" w:hAnsi="Century Gothic"/>
          <w:i/>
          <w:iCs/>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4.1.2.3</w:t>
      </w:r>
      <w:r>
        <w:rPr>
          <w:rFonts w:ascii="Century Gothic" w:hAnsi="Century Gothic"/>
          <w:i/>
          <w:u w:val="single"/>
        </w:rPr>
        <w:t>.3</w:t>
      </w:r>
      <w:r>
        <w:rPr>
          <w:rFonts w:ascii="Century Gothic" w:hAnsi="Century Gothic"/>
          <w:bCs/>
          <w:u w:val="single"/>
        </w:rPr>
        <w:t xml:space="preserve">. </w:t>
      </w:r>
      <w:r>
        <w:rPr>
          <w:rFonts w:ascii="Century Gothic" w:hAnsi="Century Gothic"/>
          <w:i/>
          <w:u w:val="single"/>
        </w:rPr>
        <w:t>Form</w:t>
      </w:r>
      <w:r>
        <w:rPr>
          <w:rFonts w:ascii="Century Gothic" w:hAnsi="Century Gothic"/>
          <w:i/>
          <w:u w:val="single"/>
        </w:rPr>
        <w:t xml:space="preserve">er </w:t>
      </w:r>
      <w:r>
        <w:rPr>
          <w:rFonts w:ascii="Century Gothic" w:hAnsi="Century Gothic"/>
          <w:i/>
          <w:u w:val="single"/>
        </w:rPr>
        <w:t>2</w:t>
      </w:r>
      <w:r>
        <w:rPr>
          <w:rFonts w:ascii="Century Gothic" w:hAnsi="Century Gothic"/>
          <w:i/>
          <w:u w:val="single"/>
        </w:rPr>
        <w:t>0</w:t>
      </w:r>
      <w:r>
        <w:rPr>
          <w:rFonts w:ascii="Century Gothic" w:hAnsi="Century Gothic"/>
          <w:i/>
          <w:u w:val="single"/>
        </w:rPr>
        <w:t>0 producteurs en technique de plantation et entretien des espèces végétales</w:t>
      </w:r>
      <w:r>
        <w:rPr>
          <w:rFonts w:ascii="Century Gothic" w:hAnsi="Century Gothic"/>
          <w:bCs/>
          <w:i/>
          <w:u w:val="single"/>
        </w:rPr>
        <w:t xml:space="preserve"> dans l’es</w:t>
      </w:r>
      <w:r>
        <w:rPr>
          <w:rFonts w:ascii="Century Gothic" w:hAnsi="Century Gothic"/>
          <w:bCs/>
          <w:i/>
          <w:u w:val="single"/>
        </w:rPr>
        <w:t xml:space="preserve">pace de conservation de </w:t>
      </w:r>
      <w:r>
        <w:rPr>
          <w:rFonts w:ascii="Century Gothic" w:hAnsi="Century Gothic"/>
          <w:bCs/>
          <w:i/>
          <w:u w:val="single"/>
        </w:rPr>
        <w:t>Gonré</w:t>
      </w:r>
      <w:r>
        <w:rPr>
          <w:rFonts w:ascii="Century Gothic" w:hAnsi="Century Gothic"/>
          <w:bCs/>
          <w:i/>
          <w:u w:val="single"/>
        </w:rPr>
        <w:t> </w:t>
      </w:r>
      <w:r>
        <w:rPr>
          <w:rFonts w:ascii="Century Gothic" w:hAnsi="Century Gothic"/>
          <w:i/>
          <w:iCs/>
          <w:u w:val="single"/>
        </w:rPr>
        <w:t>(Gonré et zenko-yarcé)</w:t>
      </w:r>
    </w:p>
    <w:p>
      <w:pPr>
        <w:pStyle w:val="style0"/>
        <w:tabs>
          <w:tab w:val="left" w:leader="none" w:pos="9214"/>
          <w:tab w:val="left" w:leader="none" w:pos="9639"/>
        </w:tabs>
        <w:jc w:val="both"/>
        <w:rPr>
          <w:rFonts w:ascii="Century Gothic" w:hAnsi="Century Gothic"/>
          <w:u w:val="single"/>
        </w:rPr>
      </w:pPr>
    </w:p>
    <w:p>
      <w:pPr>
        <w:pStyle w:val="style0"/>
        <w:tabs>
          <w:tab w:val="left" w:leader="none" w:pos="9214"/>
          <w:tab w:val="left" w:leader="none" w:pos="9639"/>
        </w:tabs>
        <w:jc w:val="both"/>
        <w:rPr>
          <w:rFonts w:ascii="Century Gothic" w:cs="Arial" w:hAnsi="Century Gothic"/>
        </w:rPr>
      </w:pPr>
      <w:r>
        <w:rPr>
          <w:rFonts w:ascii="Century Gothic" w:hAnsi="Century Gothic"/>
          <w:b/>
        </w:rPr>
        <w:t xml:space="preserve">L’objectif </w:t>
      </w:r>
      <w:r>
        <w:rPr>
          <w:rFonts w:ascii="Century Gothic" w:hAnsi="Century Gothic"/>
        </w:rPr>
        <w:t xml:space="preserve">de cette activité est de contribuer au renforcement des compétences techniques en matière de plantation et d’entretien de plants.  Elle vise d’une part à promouvoir les bonnes pratiques de gestion durable des ressources forestières et d’autre part à consolider le niveau d’engagement des communautés sur l’importance de la conservation des ressources naturelles.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w:t>
      </w:r>
      <w:r>
        <w:rPr>
          <w:rFonts w:ascii="Century Gothic" w:hAnsi="Century Gothic"/>
        </w:rPr>
        <w:t>théorique suivie de la pratique</w:t>
      </w:r>
      <w:r>
        <w:rPr>
          <w:rFonts w:ascii="Century Gothic" w:hAnsi="Century Gothic"/>
        </w:rPr>
        <w:t xml:space="preserv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est que</w:t>
      </w:r>
      <w:r>
        <w:rPr>
          <w:rFonts w:ascii="Century Gothic" w:hAnsi="Century Gothic"/>
        </w:rPr>
        <w:t xml:space="preserve"> deux</w:t>
      </w:r>
      <w:r>
        <w:rPr>
          <w:rFonts w:ascii="Century Gothic" w:hAnsi="Century Gothic"/>
        </w:rPr>
        <w:t xml:space="preserve">-cent </w:t>
      </w:r>
      <w:r>
        <w:rPr>
          <w:rFonts w:ascii="Century Gothic" w:hAnsi="Century Gothic"/>
        </w:rPr>
        <w:t>(</w:t>
      </w:r>
      <w:r>
        <w:rPr>
          <w:rFonts w:ascii="Century Gothic" w:hAnsi="Century Gothic"/>
        </w:rPr>
        <w:t>2</w:t>
      </w:r>
      <w:r>
        <w:rPr>
          <w:rFonts w:ascii="Century Gothic" w:hAnsi="Century Gothic"/>
        </w:rPr>
        <w:t>0</w:t>
      </w:r>
      <w:r>
        <w:rPr>
          <w:rFonts w:ascii="Century Gothic" w:hAnsi="Century Gothic"/>
        </w:rPr>
        <w:t xml:space="preserve">0) personnes ont renforcé leurs compétences dans la plantation et l’entretien des espèces végétales. </w:t>
      </w:r>
      <w:r>
        <w:rPr>
          <w:rFonts w:ascii="Century Gothic" w:hAnsi="Century Gothic"/>
          <w:b/>
        </w:rPr>
        <w:t>Les moyens humains</w:t>
      </w:r>
      <w:r>
        <w:rPr>
          <w:rFonts w:ascii="Century Gothic" w:hAnsi="Century Gothic"/>
        </w:rPr>
        <w:t xml:space="preserve"> sont constitués de l’expertise technique service de l’environnement. </w:t>
      </w:r>
      <w:r>
        <w:rPr>
          <w:rFonts w:ascii="Century Gothic" w:hAnsi="Century Gothic"/>
          <w:b/>
        </w:rPr>
        <w:t>Les moyens financiers</w:t>
      </w:r>
      <w:r>
        <w:rPr>
          <w:rFonts w:ascii="Century Gothic" w:hAnsi="Century Gothic"/>
        </w:rPr>
        <w:t xml:space="preserve"> seront constitués de frais de prise en charge du formateur et la restauration des participants. Ces moyens financiers seront assurés par le budget du PDIC/REDD+ de </w:t>
      </w:r>
      <w:r>
        <w:rPr>
          <w:rFonts w:ascii="Century Gothic" w:hAnsi="Century Gothic"/>
        </w:rPr>
        <w:t>Zecco</w:t>
      </w:r>
      <w:r>
        <w:rPr>
          <w:rFonts w:ascii="Century Gothic" w:hAnsi="Century Gothic"/>
        </w:rPr>
        <w:t xml:space="preserve">. </w:t>
      </w:r>
      <w:r>
        <w:rPr>
          <w:rFonts w:ascii="Century Gothic" w:cs="Arial" w:hAnsi="Century Gothic"/>
        </w:rPr>
        <w:t>L’organisation et la gestion de l’activité sera faite par le maire qui assure le rôle de coordination en collaboration avec l’agent l’environnement et les CVD des villages.</w:t>
      </w:r>
    </w:p>
    <w:p>
      <w:pPr>
        <w:pStyle w:val="style0"/>
        <w:tabs>
          <w:tab w:val="left" w:leader="none" w:pos="9214"/>
          <w:tab w:val="left" w:leader="none" w:pos="9639"/>
        </w:tabs>
        <w:jc w:val="both"/>
        <w:rPr>
          <w:rFonts w:ascii="Century Gothic" w:hAnsi="Century Gothic"/>
        </w:rPr>
      </w:pPr>
    </w:p>
    <w:p>
      <w:pPr>
        <w:pStyle w:val="style0"/>
        <w:tabs>
          <w:tab w:val="left" w:leader="none" w:pos="1701"/>
          <w:tab w:val="left" w:leader="none" w:pos="9214"/>
          <w:tab w:val="left" w:leader="none" w:pos="9639"/>
        </w:tabs>
        <w:suppressAutoHyphens/>
        <w:jc w:val="both"/>
        <w:rPr>
          <w:rFonts w:ascii="Century Gothic" w:hAnsi="Century Gothic"/>
          <w:bCs/>
          <w:i/>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4.1.2.3</w:t>
      </w:r>
      <w:r>
        <w:rPr>
          <w:rFonts w:ascii="Century Gothic" w:hAnsi="Century Gothic"/>
          <w:i/>
          <w:u w:val="single"/>
        </w:rPr>
        <w:t>.</w:t>
      </w:r>
      <w:r>
        <w:rPr>
          <w:rFonts w:ascii="Century Gothic" w:hAnsi="Century Gothic"/>
          <w:i/>
          <w:u w:val="single"/>
        </w:rPr>
        <w:t>4</w:t>
      </w:r>
      <w:r>
        <w:rPr>
          <w:rFonts w:ascii="Century Gothic" w:hAnsi="Century Gothic"/>
          <w:bCs/>
          <w:i/>
          <w:u w:val="single"/>
        </w:rPr>
        <w:t xml:space="preserve">. </w:t>
      </w:r>
      <w:r>
        <w:rPr>
          <w:rFonts w:ascii="Century Gothic" w:hAnsi="Century Gothic"/>
          <w:i/>
          <w:u w:val="single"/>
        </w:rPr>
        <w:t>Form</w:t>
      </w:r>
      <w:r>
        <w:rPr>
          <w:rFonts w:ascii="Century Gothic" w:hAnsi="Century Gothic"/>
          <w:i/>
          <w:u w:val="single"/>
        </w:rPr>
        <w:t>er</w:t>
      </w:r>
      <w:r>
        <w:rPr>
          <w:rFonts w:ascii="Century Gothic" w:hAnsi="Century Gothic"/>
          <w:i/>
          <w:u w:val="single"/>
        </w:rPr>
        <w:t xml:space="preserve"> </w:t>
      </w:r>
      <w:r>
        <w:rPr>
          <w:rFonts w:ascii="Century Gothic" w:hAnsi="Century Gothic"/>
          <w:i/>
          <w:u w:val="single"/>
        </w:rPr>
        <w:t>10</w:t>
      </w:r>
      <w:r>
        <w:rPr>
          <w:rFonts w:ascii="Century Gothic" w:hAnsi="Century Gothic"/>
          <w:i/>
          <w:u w:val="single"/>
        </w:rPr>
        <w:t xml:space="preserve">0 </w:t>
      </w:r>
      <w:r>
        <w:rPr>
          <w:rFonts w:ascii="Century Gothic" w:hAnsi="Century Gothic"/>
          <w:bCs/>
          <w:i/>
          <w:u w:val="single"/>
        </w:rPr>
        <w:t>producteurs </w:t>
      </w:r>
      <w:r>
        <w:rPr>
          <w:rFonts w:ascii="Century Gothic" w:hAnsi="Century Gothic"/>
          <w:bCs/>
          <w:i/>
          <w:u w:val="single"/>
        </w:rPr>
        <w:t>à la production et à l’utilisation du compost</w:t>
      </w:r>
      <w:r>
        <w:rPr>
          <w:rFonts w:ascii="Century Gothic" w:hAnsi="Century Gothic"/>
          <w:bCs/>
          <w:i/>
          <w:u w:val="single"/>
        </w:rPr>
        <w:t xml:space="preserve"> </w:t>
      </w:r>
      <w:r>
        <w:rPr>
          <w:rFonts w:ascii="Century Gothic" w:hAnsi="Century Gothic"/>
          <w:bCs/>
          <w:i/>
          <w:u w:val="single"/>
        </w:rPr>
        <w:t xml:space="preserve">dans l’espace de </w:t>
      </w:r>
      <w:r>
        <w:rPr>
          <w:rFonts w:ascii="Century Gothic" w:hAnsi="Century Gothic"/>
          <w:bCs/>
          <w:i/>
          <w:u w:val="single"/>
        </w:rPr>
        <w:t xml:space="preserve">conservation de </w:t>
      </w:r>
      <w:r>
        <w:rPr>
          <w:rFonts w:ascii="Century Gothic" w:hAnsi="Century Gothic"/>
          <w:bCs/>
          <w:i/>
          <w:u w:val="single"/>
        </w:rPr>
        <w:t>Gonré</w:t>
      </w:r>
      <w:r>
        <w:rPr>
          <w:rFonts w:ascii="Century Gothic" w:hAnsi="Century Gothic"/>
          <w:bCs/>
          <w:i/>
        </w:rPr>
        <w:t>:</w:t>
      </w:r>
      <w:r>
        <w:rPr>
          <w:rFonts w:ascii="Century Gothic" w:hAnsi="Century Gothic"/>
          <w:bCs/>
          <w:i/>
        </w:rPr>
        <w:t xml:space="preserve"> </w:t>
      </w:r>
    </w:p>
    <w:p>
      <w:pPr>
        <w:pStyle w:val="style0"/>
        <w:tabs>
          <w:tab w:val="left" w:leader="none" w:pos="1701"/>
          <w:tab w:val="left" w:leader="none" w:pos="9214"/>
          <w:tab w:val="left" w:leader="none" w:pos="9639"/>
        </w:tabs>
        <w:suppressAutoHyphens/>
        <w:jc w:val="both"/>
        <w:rPr>
          <w:rFonts w:ascii="Century Gothic" w:hAnsi="Century Gothic"/>
          <w:bCs/>
          <w:i/>
        </w:rPr>
      </w:pPr>
    </w:p>
    <w:p>
      <w:pPr>
        <w:pStyle w:val="style0"/>
        <w:tabs>
          <w:tab w:val="left" w:leader="none" w:pos="1701"/>
          <w:tab w:val="left" w:leader="none" w:pos="9214"/>
          <w:tab w:val="left" w:leader="none" w:pos="9639"/>
        </w:tabs>
        <w:suppressAutoHyphens/>
        <w:jc w:val="both"/>
        <w:rPr>
          <w:rFonts w:ascii="Century Gothic" w:hAnsi="Century Gothic"/>
          <w:bCs/>
        </w:rPr>
      </w:pPr>
      <w:r>
        <w:rPr>
          <w:rFonts w:ascii="Century Gothic" w:hAnsi="Century Gothic"/>
          <w:b/>
        </w:rPr>
        <w:t xml:space="preserve">L’objectif </w:t>
      </w:r>
      <w:r>
        <w:rPr>
          <w:rFonts w:ascii="Century Gothic" w:hAnsi="Century Gothic"/>
        </w:rPr>
        <w:t xml:space="preserve">de cette activité est de doter les producteurs de compétences leur permettant d’une part de réaliser des fosses fumières et d’autre part de produire du </w:t>
      </w:r>
      <w:r>
        <w:rPr>
          <w:rFonts w:ascii="Century Gothic" w:hAnsi="Century Gothic"/>
        </w:rPr>
        <w:t xml:space="preserve">compost et de l’utiliser.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w:t>
      </w:r>
      <w:r>
        <w:rPr>
          <w:rFonts w:ascii="Century Gothic" w:hAnsi="Century Gothic"/>
        </w:rPr>
        <w:t xml:space="preserve">(en s’assurant de la participation des six producteurs empiétant les limites de l’espace de conservation) </w:t>
      </w:r>
      <w:r>
        <w:rPr>
          <w:rFonts w:ascii="Century Gothic" w:hAnsi="Century Gothic"/>
        </w:rPr>
        <w:t xml:space="preserve">et qui auront la charge de répliquer la formation à la communauté. </w:t>
      </w:r>
      <w:r>
        <w:rPr>
          <w:rFonts w:ascii="Century Gothic" w:hAnsi="Century Gothic"/>
          <w:b/>
        </w:rPr>
        <w:t>Le résultat attendu</w:t>
      </w:r>
      <w:r>
        <w:rPr>
          <w:rFonts w:ascii="Century Gothic" w:hAnsi="Century Gothic"/>
        </w:rPr>
        <w:t xml:space="preserve"> est qu’à la fin de la formation cent (100) producteurs renforcent leurs capacités techniques dans la production du compost et de son utilisation.</w:t>
      </w:r>
      <w:r>
        <w:rPr>
          <w:rFonts w:ascii="Century Gothic" w:hAnsi="Century Gothic"/>
          <w:b/>
        </w:rPr>
        <w:t xml:space="preserve"> Les moyens physiques</w:t>
      </w:r>
      <w:r>
        <w:rPr>
          <w:rFonts w:ascii="Century Gothic" w:hAnsi="Century Gothic"/>
        </w:rPr>
        <w:t xml:space="preserve"> se résumeront en matériel et fournitures de formation et les </w:t>
      </w:r>
      <w:r>
        <w:rPr>
          <w:rFonts w:ascii="Century Gothic" w:hAnsi="Century Gothic"/>
          <w:b/>
        </w:rPr>
        <w:t>moyens humains</w:t>
      </w:r>
      <w:r>
        <w:rPr>
          <w:rFonts w:ascii="Century Gothic" w:hAnsi="Century Gothic"/>
        </w:rPr>
        <w:t xml:space="preserve"> sont constitués de l’expertise technique service de l’agriculture. </w:t>
      </w:r>
      <w:r>
        <w:rPr>
          <w:rFonts w:ascii="Century Gothic" w:hAnsi="Century Gothic"/>
          <w:b/>
        </w:rPr>
        <w:t>Les moyens financiers</w:t>
      </w:r>
      <w:r>
        <w:rPr>
          <w:rFonts w:ascii="Century Gothic" w:hAnsi="Century Gothic"/>
        </w:rPr>
        <w:t xml:space="preserve"> seront constitués de frais de formation et le suivi technique à la charge du PDIC/REDD+ de Zecco. L’organisation et la gestion de l’activité sera faite par le maire qui assure le rôle de coordination de l’activité en collaboration avec le service de l’agriculture.  </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i/>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4.1.2.3</w:t>
      </w:r>
      <w:r>
        <w:rPr>
          <w:rFonts w:ascii="Century Gothic" w:hAnsi="Century Gothic"/>
          <w:i/>
          <w:u w:val="single"/>
        </w:rPr>
        <w:t>.</w:t>
      </w:r>
      <w:r>
        <w:rPr>
          <w:rFonts w:ascii="Century Gothic" w:hAnsi="Century Gothic"/>
          <w:i/>
          <w:u w:val="single"/>
        </w:rPr>
        <w:t>5</w:t>
      </w:r>
      <w:r>
        <w:rPr>
          <w:rFonts w:ascii="Century Gothic" w:hAnsi="Century Gothic"/>
          <w:bCs/>
          <w:i/>
          <w:u w:val="single"/>
        </w:rPr>
        <w:t xml:space="preserve">. </w:t>
      </w:r>
      <w:r>
        <w:rPr>
          <w:rFonts w:ascii="Century Gothic" w:hAnsi="Century Gothic"/>
          <w:i/>
          <w:u w:val="single"/>
        </w:rPr>
        <w:t>Form</w:t>
      </w:r>
      <w:r>
        <w:rPr>
          <w:rFonts w:ascii="Century Gothic" w:hAnsi="Century Gothic"/>
          <w:i/>
          <w:u w:val="single"/>
        </w:rPr>
        <w:t xml:space="preserve">er </w:t>
      </w:r>
      <w:r>
        <w:rPr>
          <w:rFonts w:ascii="Century Gothic" w:hAnsi="Century Gothic"/>
          <w:i/>
          <w:u w:val="single"/>
        </w:rPr>
        <w:t>10</w:t>
      </w:r>
      <w:r>
        <w:rPr>
          <w:rFonts w:ascii="Century Gothic" w:hAnsi="Century Gothic"/>
          <w:i/>
          <w:u w:val="single"/>
        </w:rPr>
        <w:t>0 producteurs en technique de fauche et de conservation de fourrage naturel</w:t>
      </w:r>
      <w:r>
        <w:rPr>
          <w:rFonts w:ascii="Century Gothic" w:hAnsi="Century Gothic"/>
          <w:i/>
          <w:u w:val="single"/>
        </w:rPr>
        <w:t xml:space="preserve"> </w:t>
      </w:r>
      <w:r>
        <w:rPr>
          <w:rFonts w:ascii="Century Gothic" w:hAnsi="Century Gothic"/>
          <w:bCs/>
          <w:i/>
          <w:u w:val="single"/>
        </w:rPr>
        <w:t>dans l’es</w:t>
      </w:r>
      <w:r>
        <w:rPr>
          <w:rFonts w:ascii="Century Gothic" w:hAnsi="Century Gothic"/>
          <w:bCs/>
          <w:i/>
          <w:u w:val="single"/>
        </w:rPr>
        <w:t xml:space="preserve">pace de conservation de </w:t>
      </w:r>
      <w:r>
        <w:rPr>
          <w:rFonts w:ascii="Century Gothic" w:hAnsi="Century Gothic"/>
          <w:bCs/>
          <w:i/>
          <w:u w:val="single"/>
        </w:rPr>
        <w:t>Gonré</w:t>
      </w:r>
      <w:r>
        <w:rPr>
          <w:rFonts w:ascii="Century Gothic" w:hAnsi="Century Gothic"/>
          <w:i/>
          <w:u w:val="single"/>
        </w:rPr>
        <w:t>.</w:t>
      </w:r>
    </w:p>
    <w:p>
      <w:pPr>
        <w:pStyle w:val="style179"/>
        <w:tabs>
          <w:tab w:val="left" w:leader="none" w:pos="9214"/>
          <w:tab w:val="left" w:leader="none" w:pos="9639"/>
        </w:tabs>
        <w:ind w:left="0"/>
        <w:jc w:val="both"/>
        <w:rPr>
          <w:rFonts w:ascii="Century Gothic"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hAnsi="Century Gothic"/>
          <w:b/>
        </w:rPr>
        <w:t xml:space="preserve">L’objectif </w:t>
      </w:r>
      <w:r>
        <w:rPr>
          <w:rFonts w:ascii="Century Gothic" w:hAnsi="Century Gothic"/>
        </w:rPr>
        <w:t xml:space="preserve">de cette activité est de contribuer au renforcement des capacités techniques de fauche et de conservation du fourrage naturel des producteurs. Afin de rendre disponible le fourrage naturel pour l’alimentation du bétail en saison sèche réduisant ainsi la pression de celui-ci sur les espaces de conservation, les éleveurs doivent acquérir de bonnes pratiques de récolte et de conservation du fourrage.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 xml:space="preserve">est que cent (100) producteurs renforcent leurs compétences en matière de fauche et de conservation du fourrage naturel. </w:t>
      </w:r>
      <w:r>
        <w:rPr>
          <w:rFonts w:ascii="Century Gothic" w:hAnsi="Century Gothic"/>
          <w:b/>
        </w:rPr>
        <w:t>Les moyens physiques</w:t>
      </w:r>
      <w:r>
        <w:rPr>
          <w:rFonts w:ascii="Century Gothic" w:hAnsi="Century Gothic"/>
        </w:rPr>
        <w:t xml:space="preserve"> se résument en matériel et fournitures de formation et les </w:t>
      </w:r>
      <w:r>
        <w:rPr>
          <w:rFonts w:ascii="Century Gothic" w:hAnsi="Century Gothic"/>
          <w:b/>
        </w:rPr>
        <w:t>moyens humains</w:t>
      </w:r>
      <w:r>
        <w:rPr>
          <w:rFonts w:ascii="Century Gothic" w:hAnsi="Century Gothic"/>
        </w:rPr>
        <w:t xml:space="preserve"> sont constitués de l’expertise technique du formateur. </w:t>
      </w:r>
      <w:r>
        <w:rPr>
          <w:rFonts w:ascii="Century Gothic" w:hAnsi="Century Gothic"/>
          <w:b/>
        </w:rPr>
        <w:t>Les moyens financiers</w:t>
      </w:r>
      <w:r>
        <w:rPr>
          <w:rFonts w:ascii="Century Gothic" w:hAnsi="Century Gothic"/>
        </w:rPr>
        <w:t xml:space="preserve"> seront constitués de frais de prise du formateur et des participants. Ces ressources seront financées par le budget du PDIC/REDD+ de Zecco. L’organisation et la gestion de l’activité sera faite par le maire qui assure le rôle de coordination de l’activité.  </w:t>
      </w:r>
    </w:p>
    <w:p>
      <w:pPr>
        <w:pStyle w:val="style179"/>
        <w:tabs>
          <w:tab w:val="left" w:leader="none" w:pos="9214"/>
          <w:tab w:val="left" w:leader="none" w:pos="9639"/>
        </w:tabs>
        <w:ind w:left="0"/>
        <w:jc w:val="both"/>
        <w:rPr>
          <w:rFonts w:ascii="Century Gothic" w:hAnsi="Century Gothic"/>
          <w:bCs/>
          <w:i/>
          <w:u w:val="single"/>
        </w:rPr>
      </w:pPr>
    </w:p>
    <w:p>
      <w:pPr>
        <w:pStyle w:val="style179"/>
        <w:tabs>
          <w:tab w:val="left" w:leader="none" w:pos="9214"/>
          <w:tab w:val="left" w:leader="none" w:pos="9639"/>
        </w:tabs>
        <w:ind w:left="0"/>
        <w:jc w:val="both"/>
        <w:rPr>
          <w:rFonts w:ascii="Century Gothic" w:hAnsi="Century Gothic"/>
          <w:bCs/>
          <w:i/>
          <w:color w:val="000000"/>
          <w:u w:val="single"/>
        </w:rPr>
      </w:pPr>
      <w:r>
        <w:rPr>
          <w:rFonts w:ascii="Century Gothic" w:hAnsi="Century Gothic"/>
          <w:bCs/>
          <w:i/>
          <w:u w:val="single"/>
        </w:rPr>
        <w:t xml:space="preserve">Activité </w:t>
      </w:r>
      <w:r>
        <w:rPr>
          <w:rFonts w:ascii="Century Gothic" w:hAnsi="Century Gothic"/>
          <w:i/>
          <w:u w:val="single"/>
        </w:rPr>
        <w:t>4.1.2.3.6</w:t>
      </w:r>
      <w:r>
        <w:rPr>
          <w:rFonts w:ascii="Century Gothic" w:hAnsi="Century Gothic"/>
          <w:bCs/>
          <w:i/>
          <w:u w:val="single"/>
        </w:rPr>
        <w:t xml:space="preserve">. </w:t>
      </w:r>
      <w:r>
        <w:rPr>
          <w:rFonts w:ascii="Century Gothic" w:hAnsi="Century Gothic"/>
          <w:bCs/>
          <w:i/>
          <w:color w:val="000000"/>
          <w:u w:val="single"/>
        </w:rPr>
        <w:t xml:space="preserve">Former 20 producteurs en techniques apicoles modernes </w:t>
      </w:r>
      <w:r>
        <w:rPr>
          <w:rFonts w:ascii="Century Gothic" w:hAnsi="Century Gothic"/>
          <w:bCs/>
          <w:i/>
          <w:u w:val="single"/>
        </w:rPr>
        <w:t xml:space="preserve">dans l’espace de conservation de </w:t>
      </w:r>
      <w:r>
        <w:rPr>
          <w:rFonts w:ascii="Century Gothic" w:hAnsi="Century Gothic"/>
          <w:bCs/>
          <w:i/>
          <w:u w:val="single"/>
        </w:rPr>
        <w:t>Gonré</w:t>
      </w:r>
      <w:r>
        <w:rPr>
          <w:rFonts w:ascii="Century Gothic" w:hAnsi="Century Gothic"/>
          <w:bCs/>
          <w:i/>
          <w:u w:val="single"/>
        </w:rPr>
        <w:t>.</w:t>
      </w:r>
    </w:p>
    <w:p>
      <w:pPr>
        <w:pStyle w:val="style179"/>
        <w:tabs>
          <w:tab w:val="left" w:leader="none" w:pos="9214"/>
          <w:tab w:val="left" w:leader="none" w:pos="9639"/>
        </w:tabs>
        <w:ind w:left="0"/>
        <w:jc w:val="both"/>
        <w:rPr>
          <w:rFonts w:ascii="Century Gothic" w:hAnsi="Century Gothic"/>
          <w:bCs/>
          <w:i/>
          <w:color w:val="000000"/>
          <w:u w:val="single"/>
        </w:rPr>
      </w:pPr>
    </w:p>
    <w:p>
      <w:pPr>
        <w:pStyle w:val="style179"/>
        <w:tabs>
          <w:tab w:val="left" w:leader="none" w:pos="9214"/>
          <w:tab w:val="left" w:leader="none" w:pos="9639"/>
        </w:tabs>
        <w:ind w:left="0"/>
        <w:jc w:val="both"/>
        <w:rPr>
          <w:rFonts w:ascii="Century Gothic" w:hAnsi="Century Gothic"/>
        </w:rPr>
      </w:pPr>
      <w:r>
        <w:rPr>
          <w:rFonts w:ascii="Century Gothic" w:hAnsi="Century Gothic"/>
          <w:b/>
          <w:bCs/>
          <w:color w:val="000000"/>
        </w:rPr>
        <w:t xml:space="preserve">L’objectif </w:t>
      </w:r>
      <w:r>
        <w:rPr>
          <w:rFonts w:ascii="Century Gothic" w:hAnsi="Century Gothic"/>
          <w:bCs/>
          <w:color w:val="000000"/>
        </w:rPr>
        <w:t xml:space="preserve">est de former 20 personnes en techniques modernes de production apicoles. </w:t>
      </w:r>
      <w:r>
        <w:rPr>
          <w:rFonts w:ascii="Century Gothic" w:hAnsi="Century Gothic"/>
          <w:b/>
          <w:bCs/>
          <w:color w:val="000000"/>
        </w:rPr>
        <w:t>La méthode </w:t>
      </w:r>
      <w:r>
        <w:rPr>
          <w:rFonts w:ascii="Century Gothic" w:hAnsi="Century Gothic"/>
          <w:bCs/>
          <w:color w:val="000000"/>
        </w:rPr>
        <w:t>va reposer sur la sélection des bénéficiaires, l’organisation théorique et pratique de la formation qui durera cinq jours</w:t>
      </w:r>
      <w:r>
        <w:rPr>
          <w:rFonts w:ascii="Century Gothic" w:hAnsi="Century Gothic"/>
          <w:b/>
          <w:bCs/>
          <w:color w:val="000000"/>
        </w:rPr>
        <w:t xml:space="preserve">. </w:t>
      </w:r>
      <w:r>
        <w:rPr>
          <w:rFonts w:ascii="Century Gothic" w:hAnsi="Century Gothic"/>
          <w:bCs/>
          <w:color w:val="000000"/>
        </w:rPr>
        <w:t xml:space="preserve">Les apprenants constitués de 12 femmes et de 8 jeunes seront désignés de manière concertée avec le STD </w:t>
      </w:r>
      <w:r>
        <w:rPr>
          <w:rFonts w:ascii="Century Gothic" w:hAnsi="Century Gothic"/>
          <w:bCs/>
          <w:color w:val="000000"/>
        </w:rPr>
        <w:t>de l’</w:t>
      </w:r>
      <w:r>
        <w:rPr>
          <w:rFonts w:ascii="Century Gothic" w:hAnsi="Century Gothic"/>
          <w:bCs/>
          <w:color w:val="000000"/>
        </w:rPr>
        <w:t xml:space="preserve">élevage, les CVD des villages et le Responsable Environnement et Développement Local de la mairie de </w:t>
      </w:r>
      <w:r>
        <w:rPr>
          <w:rFonts w:ascii="Century Gothic" w:hAnsi="Century Gothic"/>
          <w:bCs/>
          <w:color w:val="000000"/>
        </w:rPr>
        <w:t>Zecco</w:t>
      </w:r>
      <w:r>
        <w:rPr>
          <w:rFonts w:ascii="Century Gothic" w:hAnsi="Century Gothic"/>
          <w:bCs/>
          <w:color w:val="000000"/>
        </w:rPr>
        <w:t xml:space="preserve">. </w:t>
      </w:r>
      <w:r>
        <w:rPr>
          <w:rFonts w:ascii="Century Gothic" w:hAnsi="Century Gothic"/>
          <w:b/>
          <w:bCs/>
          <w:color w:val="000000"/>
        </w:rPr>
        <w:t>Les r</w:t>
      </w:r>
      <w:r>
        <w:rPr>
          <w:rFonts w:ascii="Century Gothic" w:hAnsi="Century Gothic"/>
          <w:b/>
          <w:bCs/>
          <w:color w:val="000000"/>
        </w:rPr>
        <w:t>ésultats attendus</w:t>
      </w:r>
      <w:r>
        <w:rPr>
          <w:rFonts w:ascii="Century Gothic" w:hAnsi="Century Gothic"/>
          <w:bCs/>
          <w:color w:val="000000"/>
        </w:rPr>
        <w:t> </w:t>
      </w:r>
      <w:r>
        <w:rPr>
          <w:rFonts w:ascii="Century Gothic" w:hAnsi="Century Gothic"/>
          <w:bCs/>
          <w:color w:val="000000"/>
        </w:rPr>
        <w:t xml:space="preserve">sont que </w:t>
      </w:r>
      <w:r>
        <w:rPr>
          <w:rFonts w:ascii="Century Gothic" w:hAnsi="Century Gothic"/>
          <w:bCs/>
          <w:color w:val="000000"/>
        </w:rPr>
        <w:t xml:space="preserve">12 femmes et 8 jeunes sont formés en techniques apicoles modernes. </w:t>
      </w:r>
      <w:r>
        <w:rPr>
          <w:rFonts w:ascii="Century Gothic" w:hAnsi="Century Gothic"/>
          <w:b/>
        </w:rPr>
        <w:t>Les moyens physiques</w:t>
      </w:r>
      <w:r>
        <w:rPr>
          <w:rFonts w:ascii="Century Gothic" w:hAnsi="Century Gothic"/>
        </w:rPr>
        <w:t xml:space="preserve"> se résume</w:t>
      </w:r>
      <w:r>
        <w:rPr>
          <w:rFonts w:ascii="Century Gothic" w:hAnsi="Century Gothic"/>
        </w:rPr>
        <w:t xml:space="preserve">nt en matériel et fournitures de formation et les </w:t>
      </w:r>
      <w:r>
        <w:rPr>
          <w:rFonts w:ascii="Century Gothic" w:hAnsi="Century Gothic"/>
          <w:b/>
        </w:rPr>
        <w:t>moyens humains</w:t>
      </w:r>
      <w:r>
        <w:rPr>
          <w:rFonts w:ascii="Century Gothic" w:hAnsi="Century Gothic"/>
        </w:rPr>
        <w:t xml:space="preserve"> sont constitués de l’expertise technique du formateur. </w:t>
      </w:r>
      <w:r>
        <w:rPr>
          <w:rFonts w:ascii="Century Gothic" w:hAnsi="Century Gothic"/>
          <w:b/>
        </w:rPr>
        <w:t>Les moyens financiers</w:t>
      </w:r>
      <w:r>
        <w:rPr>
          <w:rFonts w:ascii="Century Gothic" w:hAnsi="Century Gothic"/>
        </w:rPr>
        <w:t xml:space="preserve"> seront constitués de frais de prise du formateur et des participants. Ces ressources seront financées par le budget du PDIC/REDD+ de </w:t>
      </w:r>
      <w:r>
        <w:rPr>
          <w:rFonts w:ascii="Century Gothic" w:hAnsi="Century Gothic"/>
        </w:rPr>
        <w:t>Zecco</w:t>
      </w:r>
      <w:r>
        <w:rPr>
          <w:rFonts w:ascii="Century Gothic" w:hAnsi="Century Gothic"/>
        </w:rPr>
        <w:t xml:space="preserve">. L’organisation </w:t>
      </w:r>
      <w:r>
        <w:rPr>
          <w:rFonts w:ascii="Century Gothic" w:hAnsi="Century Gothic"/>
        </w:rPr>
        <w:t>et la gestion de l’activité sera faite par le maire qui assure le rôle de coordination de l’activité.</w:t>
      </w: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  </w:t>
      </w:r>
    </w:p>
    <w:p>
      <w:pPr>
        <w:pStyle w:val="style0"/>
        <w:spacing w:lineRule="auto" w:line="276"/>
        <w:jc w:val="both"/>
        <w:rPr>
          <w:rFonts w:ascii="Century Gothic" w:hAnsi="Century Gothic"/>
          <w:bCs/>
          <w:i/>
          <w:u w:val="single"/>
        </w:rPr>
      </w:pPr>
      <w:r>
        <w:rPr>
          <w:rFonts w:ascii="Century Gothic" w:hAnsi="Century Gothic"/>
          <w:bCs/>
          <w:i/>
          <w:u w:val="single"/>
        </w:rPr>
        <w:t xml:space="preserve">Activité </w:t>
      </w:r>
      <w:r>
        <w:rPr>
          <w:rFonts w:ascii="Century Gothic" w:hAnsi="Century Gothic"/>
          <w:i/>
          <w:u w:val="single"/>
        </w:rPr>
        <w:t>4.1.2.3.7</w:t>
      </w:r>
      <w:r>
        <w:rPr>
          <w:rFonts w:ascii="Century Gothic" w:hAnsi="Century Gothic"/>
          <w:bCs/>
          <w:i/>
          <w:u w:val="single"/>
        </w:rPr>
        <w:t xml:space="preserve">. </w:t>
      </w:r>
      <w:r>
        <w:rPr>
          <w:rFonts w:ascii="Century Gothic" w:hAnsi="Century Gothic"/>
          <w:i/>
          <w:u w:val="single"/>
        </w:rPr>
        <w:t>F</w:t>
      </w:r>
      <w:r>
        <w:rPr>
          <w:rFonts w:ascii="Century Gothic" w:hAnsi="Century Gothic"/>
          <w:bCs/>
          <w:i/>
          <w:u w:val="single"/>
        </w:rPr>
        <w:t xml:space="preserve">ormer </w:t>
      </w:r>
      <w:r>
        <w:rPr>
          <w:rFonts w:ascii="Century Gothic" w:hAnsi="Century Gothic"/>
          <w:bCs/>
          <w:i/>
          <w:u w:val="single"/>
        </w:rPr>
        <w:t>3</w:t>
      </w:r>
      <w:r>
        <w:rPr>
          <w:rFonts w:ascii="Century Gothic" w:hAnsi="Century Gothic"/>
          <w:bCs/>
          <w:i/>
          <w:u w:val="single"/>
        </w:rPr>
        <w:t xml:space="preserve">0 membres </w:t>
      </w:r>
      <w:r>
        <w:rPr>
          <w:rFonts w:ascii="Century Gothic" w:hAnsi="Century Gothic"/>
          <w:bCs/>
          <w:i/>
          <w:u w:val="single"/>
        </w:rPr>
        <w:t>d</w:t>
      </w:r>
      <w:r>
        <w:rPr>
          <w:rFonts w:ascii="Century Gothic" w:hAnsi="Century Gothic"/>
          <w:bCs/>
          <w:i/>
          <w:u w:val="single"/>
        </w:rPr>
        <w:t>u</w:t>
      </w:r>
      <w:r>
        <w:rPr>
          <w:rFonts w:ascii="Century Gothic" w:hAnsi="Century Gothic"/>
          <w:bCs/>
          <w:i/>
          <w:u w:val="single"/>
        </w:rPr>
        <w:t xml:space="preserve"> </w:t>
      </w:r>
      <w:r>
        <w:rPr>
          <w:rFonts w:ascii="Century Gothic" w:hAnsi="Century Gothic"/>
          <w:bCs/>
          <w:i/>
          <w:u w:val="single"/>
        </w:rPr>
        <w:t xml:space="preserve">groupement </w:t>
      </w:r>
      <w:r>
        <w:rPr>
          <w:rFonts w:ascii="Century Gothic" w:hAnsi="Century Gothic"/>
          <w:bCs/>
          <w:i/>
          <w:u w:val="single"/>
        </w:rPr>
        <w:t xml:space="preserve">féminin </w:t>
      </w:r>
      <w:r>
        <w:rPr>
          <w:rFonts w:ascii="Century Gothic" w:hAnsi="Century Gothic"/>
          <w:i/>
          <w:u w:val="single"/>
        </w:rPr>
        <w:t>Song Taaba Maboltenga</w:t>
      </w:r>
      <w:r>
        <w:rPr>
          <w:rFonts w:ascii="Century Gothic" w:hAnsi="Century Gothic"/>
          <w:bCs/>
          <w:i/>
          <w:u w:val="single"/>
        </w:rPr>
        <w:t xml:space="preserve"> </w:t>
      </w:r>
      <w:r>
        <w:rPr>
          <w:rFonts w:ascii="Century Gothic" w:hAnsi="Century Gothic"/>
          <w:bCs/>
          <w:i/>
          <w:u w:val="single"/>
        </w:rPr>
        <w:t xml:space="preserve">de Gonré </w:t>
      </w:r>
      <w:r>
        <w:rPr>
          <w:rFonts w:ascii="Century Gothic" w:hAnsi="Century Gothic"/>
          <w:bCs/>
          <w:i/>
          <w:u w:val="single"/>
        </w:rPr>
        <w:t>en techniques de production</w:t>
      </w:r>
      <w:r>
        <w:rPr>
          <w:rFonts w:ascii="Century Gothic" w:hAnsi="Century Gothic"/>
          <w:bCs/>
          <w:i/>
          <w:u w:val="single"/>
        </w:rPr>
        <w:t xml:space="preserve"> maraîchère</w:t>
      </w:r>
      <w:r>
        <w:rPr>
          <w:rFonts w:ascii="Century Gothic" w:hAnsi="Century Gothic"/>
          <w:bCs/>
          <w:i/>
          <w:u w:val="single"/>
        </w:rPr>
        <w:t xml:space="preserve">. </w:t>
      </w:r>
    </w:p>
    <w:p>
      <w:pPr>
        <w:pStyle w:val="style0"/>
        <w:spacing w:lineRule="auto" w:line="276"/>
        <w:jc w:val="both"/>
        <w:rPr>
          <w:rFonts w:ascii="Century Gothic" w:hAnsi="Century Gothic"/>
          <w:b/>
        </w:rPr>
      </w:pPr>
    </w:p>
    <w:p>
      <w:pPr>
        <w:pStyle w:val="style0"/>
        <w:spacing w:lineRule="auto" w:line="276"/>
        <w:jc w:val="both"/>
        <w:rPr>
          <w:rFonts w:ascii="Century Gothic" w:hAnsi="Century Gothic"/>
        </w:rPr>
      </w:pPr>
      <w:r>
        <w:rPr>
          <w:rFonts w:ascii="Century Gothic" w:hAnsi="Century Gothic"/>
          <w:b/>
        </w:rPr>
        <w:t xml:space="preserve">L’objectif </w:t>
      </w:r>
      <w:r>
        <w:rPr>
          <w:rFonts w:ascii="Century Gothic" w:hAnsi="Century Gothic"/>
        </w:rPr>
        <w:t xml:space="preserve">de cette activité est d’habiliter l’ensemble des bénéficiaires à la production des différentes spéculations. </w:t>
      </w:r>
      <w:r>
        <w:rPr>
          <w:rFonts w:ascii="Century Gothic" w:hAnsi="Century Gothic"/>
          <w:b/>
        </w:rPr>
        <w:t>Le</w:t>
      </w:r>
      <w:r>
        <w:rPr>
          <w:rFonts w:ascii="Century Gothic" w:hAnsi="Century Gothic"/>
        </w:rPr>
        <w:t xml:space="preserve"> </w:t>
      </w:r>
      <w:r>
        <w:rPr>
          <w:rFonts w:ascii="Century Gothic" w:hAnsi="Century Gothic"/>
          <w:b/>
        </w:rPr>
        <w:t>résultat</w:t>
      </w:r>
      <w:r>
        <w:rPr>
          <w:rFonts w:ascii="Century Gothic" w:hAnsi="Century Gothic"/>
        </w:rPr>
        <w:t xml:space="preserve"> à l’issu de cette formation est la maitrise des techniques de production par les 30 bénéficiaires pour une augmentation de la productivité.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va se reposer sur une animation de la formation par le service de l’agriculture. Les </w:t>
      </w:r>
      <w:r>
        <w:rPr>
          <w:rFonts w:ascii="Century Gothic" w:hAnsi="Century Gothic"/>
          <w:b/>
        </w:rPr>
        <w:t>moyens humains</w:t>
      </w:r>
      <w:r>
        <w:rPr>
          <w:rFonts w:ascii="Century Gothic" w:hAnsi="Century Gothic"/>
        </w:rPr>
        <w:t xml:space="preserve"> reposeront essentiellement sur l’expertise de la ZATA, les </w:t>
      </w:r>
      <w:r>
        <w:rPr>
          <w:rFonts w:ascii="Century Gothic" w:hAnsi="Century Gothic"/>
          <w:b/>
        </w:rPr>
        <w:t>moyens matériels</w:t>
      </w:r>
      <w:r>
        <w:rPr>
          <w:rFonts w:ascii="Century Gothic" w:hAnsi="Century Gothic"/>
        </w:rPr>
        <w:t xml:space="preserve"> seront constitués de matériels et fourniture de la formation. </w:t>
      </w:r>
      <w:r>
        <w:rPr>
          <w:rFonts w:ascii="Century Gothic" w:hAnsi="Century Gothic"/>
          <w:b/>
        </w:rPr>
        <w:t>Les moyens financiers</w:t>
      </w:r>
      <w:r>
        <w:rPr>
          <w:rFonts w:ascii="Century Gothic" w:hAnsi="Century Gothic"/>
        </w:rPr>
        <w:t xml:space="preserve"> seront constitués de frais de prise du formateur et </w:t>
      </w:r>
      <w:r>
        <w:rPr>
          <w:rFonts w:ascii="Century Gothic" w:hAnsi="Century Gothic"/>
        </w:rPr>
        <w:t xml:space="preserve">la restauration </w:t>
      </w:r>
      <w:r>
        <w:rPr>
          <w:rFonts w:ascii="Century Gothic" w:hAnsi="Century Gothic"/>
        </w:rPr>
        <w:t xml:space="preserve">des participants. </w:t>
      </w:r>
      <w:r>
        <w:rPr>
          <w:rFonts w:ascii="Century Gothic" w:hAnsi="Century Gothic"/>
        </w:rPr>
        <w:t xml:space="preserve">Ces ressources seront financées par le budget du PDIC/REDD+ de </w:t>
      </w:r>
      <w:r>
        <w:rPr>
          <w:rFonts w:ascii="Century Gothic" w:hAnsi="Century Gothic"/>
        </w:rPr>
        <w:t>Zecco</w:t>
      </w:r>
      <w:r>
        <w:rPr>
          <w:rFonts w:ascii="Century Gothic" w:hAnsi="Century Gothic"/>
        </w:rPr>
        <w:t xml:space="preserve">. L’organisation et la gestion de l’activité sera faite par le maire qui assure le rôle de coordination de l’activité en collaboration </w:t>
      </w:r>
      <w:r>
        <w:rPr>
          <w:rFonts w:ascii="Century Gothic" w:hAnsi="Century Gothic"/>
        </w:rPr>
        <w:t xml:space="preserve">la coopérative </w:t>
      </w:r>
      <w:r>
        <w:rPr>
          <w:rFonts w:ascii="Century Gothic" w:hAnsi="Century Gothic"/>
        </w:rPr>
        <w:t>Song Taaba Maboltenga</w:t>
      </w:r>
      <w:r>
        <w:rPr>
          <w:rFonts w:ascii="Century Gothic" w:hAnsi="Century Gothic"/>
        </w:rPr>
        <w:t xml:space="preserve"> de Gonré</w:t>
      </w:r>
      <w:r>
        <w:rPr>
          <w:rFonts w:ascii="Century Gothic" w:hAnsi="Century Gothic"/>
        </w:rPr>
        <w:t>.</w:t>
      </w:r>
    </w:p>
    <w:p>
      <w:pPr>
        <w:pStyle w:val="style179"/>
        <w:tabs>
          <w:tab w:val="left" w:leader="none" w:pos="9214"/>
          <w:tab w:val="left" w:leader="none" w:pos="9639"/>
        </w:tabs>
        <w:ind w:left="0"/>
        <w:jc w:val="both"/>
        <w:rPr>
          <w:rFonts w:ascii="Century Gothic" w:hAnsi="Century Gothic"/>
        </w:rPr>
      </w:pPr>
    </w:p>
    <w:bookmarkStart w:id="24" w:name="_Toc82049049"/>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 xml:space="preserve">4.2. Espace de conservation  </w:t>
      </w:r>
      <w:r>
        <w:rPr>
          <w:rFonts w:ascii="Century Gothic" w:hAnsi="Century Gothic"/>
          <w:szCs w:val="24"/>
        </w:rPr>
        <w:t>Zecco (forêt communale)</w:t>
      </w:r>
      <w:bookmarkEnd w:id="24"/>
    </w:p>
    <w:p>
      <w:pPr>
        <w:pStyle w:val="style0"/>
        <w:tabs>
          <w:tab w:val="left" w:leader="none" w:pos="9214"/>
          <w:tab w:val="left" w:leader="none" w:pos="9639"/>
        </w:tabs>
        <w:rPr>
          <w:rFonts w:ascii="Century Gothic" w:hAnsi="Century Gothic"/>
        </w:rPr>
      </w:pPr>
    </w:p>
    <w:bookmarkStart w:id="25" w:name="_Toc82049050"/>
    <w:p>
      <w:pPr>
        <w:pStyle w:val="style2"/>
        <w:numPr>
          <w:ilvl w:val="0"/>
          <w:numId w:val="0"/>
        </w:numPr>
        <w:tabs>
          <w:tab w:val="left" w:leader="none" w:pos="9214"/>
          <w:tab w:val="left" w:leader="none" w:pos="9639"/>
        </w:tabs>
        <w:rPr>
          <w:rFonts w:ascii="Century Gothic" w:hAnsi="Century Gothic"/>
        </w:rPr>
      </w:pPr>
      <w:r>
        <w:rPr>
          <w:rFonts w:ascii="Century Gothic" w:hAnsi="Century Gothic"/>
          <w:szCs w:val="24"/>
        </w:rPr>
        <w:t>4.2.1. Description de l’espace de conservation Zecco (forêt communale de Zecco)</w:t>
      </w:r>
      <w:bookmarkEnd w:id="25"/>
    </w:p>
    <w:p>
      <w:pPr>
        <w:pStyle w:val="style0"/>
        <w:tabs>
          <w:tab w:val="left" w:leader="none" w:pos="9214"/>
          <w:tab w:val="left" w:leader="none" w:pos="9639"/>
        </w:tabs>
        <w:rPr>
          <w:rFonts w:ascii="Century Gothic" w:hAnsi="Century Gothic"/>
        </w:rPr>
      </w:pPr>
    </w:p>
    <w:p>
      <w:pPr>
        <w:pStyle w:val="style0"/>
        <w:widowControl w:val="false"/>
        <w:autoSpaceDE w:val="false"/>
        <w:autoSpaceDN w:val="false"/>
        <w:adjustRightInd w:val="false"/>
        <w:jc w:val="both"/>
        <w:rPr>
          <w:rFonts w:ascii="Century Gothic" w:hAnsi="Century Gothic"/>
        </w:rPr>
      </w:pPr>
      <w:r>
        <w:rPr>
          <w:rFonts w:ascii="Century Gothic" w:hAnsi="Century Gothic"/>
          <w:noProof/>
        </w:rPr>
        <mc:AlternateContent>
          <mc:Choice Requires="wpg">
            <w:drawing>
              <wp:anchor distT="0" distB="0" distL="114300" distR="114300" simplePos="false" relativeHeight="4" behindDoc="true" locked="false" layoutInCell="true" allowOverlap="true">
                <wp:simplePos x="0" y="0"/>
                <wp:positionH relativeFrom="margin">
                  <wp:align>right</wp:align>
                </wp:positionH>
                <wp:positionV relativeFrom="paragraph">
                  <wp:posOffset>136525</wp:posOffset>
                </wp:positionV>
                <wp:extent cx="4324350" cy="3131819"/>
                <wp:effectExtent l="0" t="0" r="0" b="0"/>
                <wp:wrapTight wrapText="bothSides">
                  <wp:wrapPolygon edited="false">
                    <wp:start x="0" y="0"/>
                    <wp:lineTo x="0" y="21416"/>
                    <wp:lineTo x="21505" y="21416"/>
                    <wp:lineTo x="21505" y="0"/>
                    <wp:lineTo x="0" y="0"/>
                  </wp:wrapPolygon>
                </wp:wrapTight>
                <wp:docPr id="1037" name="Groupe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24350" cy="3131819"/>
                          <a:chOff x="0" y="1"/>
                          <a:chExt cx="4324350" cy="3070261"/>
                        </a:xfrm>
                      </wpg:grpSpPr>
                      <wps:wsp>
                        <wps:cNvSpPr/>
                        <wps:spPr>
                          <a:xfrm rot="0">
                            <a:off x="15240" y="2819400"/>
                            <a:ext cx="4297680" cy="250862"/>
                          </a:xfrm>
                          <a:prstGeom prst="rect"/>
                          <a:solidFill>
                            <a:srgbClr val="ffffff"/>
                          </a:solidFill>
                          <a:ln>
                            <a:noFill/>
                          </a:ln>
                        </wps:spPr>
                        <wps:txbx id="1038">
                          <w:txbxContent>
                            <w:p>
                              <w:pPr>
                                <w:pStyle w:val="style0"/>
                                <w:widowControl w:val="false"/>
                                <w:autoSpaceDE w:val="false"/>
                                <w:autoSpaceDN w:val="false"/>
                                <w:adjustRightInd w:val="false"/>
                                <w:jc w:val="center"/>
                                <w:rPr>
                                  <w:rFonts w:ascii="Century Gothic" w:hAnsi="Century Gothic"/>
                                  <w:b/>
                                  <w:i/>
                                  <w:sz w:val="20"/>
                                  <w:szCs w:val="20"/>
                                </w:rPr>
                              </w:pPr>
                              <w:r>
                                <w:rPr>
                                  <w:rFonts w:ascii="Century Gothic" w:hAnsi="Century Gothic"/>
                                  <w:b/>
                                  <w:i/>
                                  <w:sz w:val="20"/>
                                  <w:szCs w:val="20"/>
                                </w:rPr>
                                <w:t>Vue de l’espace de conservation Zecco dans le village de Baré</w:t>
                              </w:r>
                            </w:p>
                            <w:p>
                              <w:pPr>
                                <w:pStyle w:val="style0"/>
                                <w:rPr>
                                  <w:b/>
                                  <w:i/>
                                </w:rPr>
                              </w:pPr>
                            </w:p>
                          </w:txbxContent>
                        </wps:txbx>
                        <wps:bodyPr lIns="91440" rIns="91440" tIns="45720" bIns="45720" vert="horz" anchor="t" wrap="square">
                          <a:prstTxWarp prst="textNoShape"/>
                          <a:noAutofit/>
                        </wps:bodyPr>
                      </wps:wsp>
                      <pic:pic xmlns:pic="http://schemas.openxmlformats.org/drawingml/2006/picture">
                        <pic:nvPicPr>
                          <pic:cNvPr id="7" name="Image"/>
                          <pic:cNvPicPr/>
                        </pic:nvPicPr>
                        <pic:blipFill>
                          <a:blip r:embed="rId12" cstate="print"/>
                          <a:srcRect l="0" t="0" r="0" b="0"/>
                          <a:stretch/>
                        </pic:blipFill>
                        <pic:spPr>
                          <a:xfrm rot="0">
                            <a:off x="0" y="1"/>
                            <a:ext cx="4324350" cy="2756512"/>
                          </a:xfrm>
                          <a:prstGeom prst="rect"/>
                          <a:ln>
                            <a:noFill/>
                          </a:ln>
                        </pic:spPr>
                      </pic:pic>
                    </wpg:wgp>
                  </a:graphicData>
                </a:graphic>
                <wp14:sizeRelV relativeFrom="margin">
                  <wp14:pctHeight>0</wp14:pctHeight>
                </wp14:sizeRelV>
              </wp:anchor>
            </w:drawing>
          </mc:Choice>
          <mc:Fallback>
            <w:pict>
              <v:group id="1037" filled="f" stroked="f" style="position:absolute;margin-left:0.0pt;margin-top:10.75pt;width:340.5pt;height:246.6pt;z-index:-2147483643;mso-position-horizontal:right;mso-position-horizontal-relative:margin;mso-position-vertical-relative:text;mso-height-percent:0;mso-width-relative:page;mso-height-relative:margin;visibility:visible;" coordsize="4324350,3070261" coordorigin="0,1">
                <v:rect id="1038" fillcolor="white" stroked="f" style="position:absolute;left:15240;top:2819400;width:4297680;height:250862;z-index:2;mso-position-horizontal-relative:page;mso-position-vertical-relative:page;mso-width-relative:page;mso-height-relative:page;visibility:visible;">
                  <v:stroke on="f" weight="0.5pt"/>
                  <v:fill/>
                  <v:textbox inset="7.2pt,3.6pt,7.2pt,3.6pt">
                    <w:txbxContent>
                      <w:p>
                        <w:pPr>
                          <w:pStyle w:val="style0"/>
                          <w:widowControl w:val="false"/>
                          <w:autoSpaceDE w:val="false"/>
                          <w:autoSpaceDN w:val="false"/>
                          <w:adjustRightInd w:val="false"/>
                          <w:jc w:val="center"/>
                          <w:rPr>
                            <w:rFonts w:ascii="Century Gothic" w:hAnsi="Century Gothic"/>
                            <w:b/>
                            <w:i/>
                            <w:sz w:val="20"/>
                            <w:szCs w:val="20"/>
                          </w:rPr>
                        </w:pPr>
                        <w:r>
                          <w:rPr>
                            <w:rFonts w:ascii="Century Gothic" w:hAnsi="Century Gothic"/>
                            <w:b/>
                            <w:i/>
                            <w:sz w:val="20"/>
                            <w:szCs w:val="20"/>
                          </w:rPr>
                          <w:t>Vue de l’espace de conservation Zecco dans le village de Baré</w:t>
                        </w:r>
                      </w:p>
                      <w:p>
                        <w:pPr>
                          <w:pStyle w:val="style0"/>
                          <w:rPr>
                            <w:b/>
                            <w:i/>
                          </w:rPr>
                        </w:pPr>
                      </w:p>
                    </w:txbxContent>
                  </v:textbox>
                </v:rect>
                <v:shape id="1039" type="#_x0000_t75" filled="f" stroked="f" style="position:absolute;left:0;top:1;width:4324350;height:2756512;z-index:3;mso-position-horizontal-relative:page;mso-position-vertical-relative:page;mso-width-relative:page;mso-height-relative:page;visibility:visible;">
                  <v:imagedata r:id="rId12" embosscolor="white" o:title=""/>
                  <v:stroke on="f"/>
                  <v:fill/>
                </v:shape>
                <w10:wrap type="tight"/>
                <v:fill/>
              </v:group>
            </w:pict>
          </mc:Fallback>
        </mc:AlternateContent>
      </w:r>
      <w:r>
        <w:rPr>
          <w:rFonts w:ascii="Century Gothic" w:hAnsi="Century Gothic"/>
        </w:rPr>
        <w:t xml:space="preserve">D’une superficie d’environ 28,32 hectares, l’espace de conservation Zecco est un massif constitué de savane arbustive et quelques formations arborées. Relativement dense et bien conservé, cet espace de conservation situé dans le village de Baré et qui donne son nom à l’ensemble de la commune, renferme un lieu sacré appelé Zecco. </w:t>
      </w:r>
    </w:p>
    <w:p>
      <w:pPr>
        <w:pStyle w:val="style0"/>
        <w:widowControl w:val="false"/>
        <w:autoSpaceDE w:val="false"/>
        <w:autoSpaceDN w:val="false"/>
        <w:adjustRightInd w:val="false"/>
        <w:jc w:val="both"/>
        <w:rPr>
          <w:rFonts w:ascii="Century Gothic" w:hAnsi="Century Gothic"/>
        </w:rPr>
      </w:pPr>
    </w:p>
    <w:p>
      <w:pPr>
        <w:pStyle w:val="style0"/>
        <w:widowControl w:val="false"/>
        <w:autoSpaceDE w:val="false"/>
        <w:autoSpaceDN w:val="false"/>
        <w:adjustRightInd w:val="false"/>
        <w:jc w:val="both"/>
        <w:rPr>
          <w:rFonts w:ascii="Century Gothic" w:hAnsi="Century Gothic"/>
        </w:rPr>
      </w:pPr>
      <w:r>
        <w:rPr>
          <w:rFonts w:ascii="Century Gothic" w:hAnsi="Century Gothic"/>
        </w:rPr>
        <w:t xml:space="preserve">Cet espace repéré par les coordonnées de son centraïde X= </w:t>
      </w:r>
      <w:r>
        <w:rPr>
          <w:rFonts w:ascii="Century Gothic" w:hAnsi="Century Gothic"/>
        </w:rPr>
        <w:t xml:space="preserve">730095 et Y= 1218939 (WGS84, UTM zone 30N) </w:t>
      </w:r>
      <w:r>
        <w:rPr>
          <w:rFonts w:ascii="Century Gothic" w:hAnsi="Century Gothic"/>
        </w:rPr>
        <w:t xml:space="preserve">serait en perspective la forêt communale de Zecco. </w:t>
      </w:r>
    </w:p>
    <w:p>
      <w:pPr>
        <w:pStyle w:val="style0"/>
        <w:widowControl w:val="false"/>
        <w:autoSpaceDE w:val="false"/>
        <w:autoSpaceDN w:val="false"/>
        <w:adjustRightInd w:val="false"/>
        <w:jc w:val="both"/>
        <w:rPr>
          <w:rFonts w:ascii="Century Gothic" w:hAnsi="Century Gothic"/>
        </w:rPr>
      </w:pPr>
    </w:p>
    <w:p>
      <w:pPr>
        <w:pStyle w:val="style0"/>
        <w:widowControl w:val="false"/>
        <w:autoSpaceDE w:val="false"/>
        <w:autoSpaceDN w:val="false"/>
        <w:adjustRightInd w:val="false"/>
        <w:jc w:val="both"/>
        <w:rPr>
          <w:rFonts w:ascii="Century Gothic" w:hAnsi="Century Gothic"/>
        </w:rPr>
      </w:pPr>
      <w:r>
        <w:rPr>
          <w:rFonts w:ascii="Century Gothic" w:hAnsi="Century Gothic"/>
        </w:rPr>
        <w:t xml:space="preserve">Les tentatives d’empiètements agricoles constatés sur les limites de certaines portions sont les signes annonciateurs d’incursions humaines dans l’espace sacré et aussi les indices d’effritement de la tradition. L’adoption de statut de conservation </w:t>
      </w:r>
      <w:r>
        <w:rPr>
          <w:rFonts w:ascii="Century Gothic" w:hAnsi="Century Gothic"/>
        </w:rPr>
        <w:t>légal pourrait être une belle alternative à la conservation de cet important massif forestier.</w:t>
      </w:r>
    </w:p>
    <w:p>
      <w:pPr>
        <w:pStyle w:val="style0"/>
        <w:tabs>
          <w:tab w:val="left" w:leader="none" w:pos="9214"/>
          <w:tab w:val="left" w:leader="none" w:pos="9639"/>
        </w:tabs>
        <w:rPr>
          <w:rFonts w:ascii="Century Gothic" w:hAnsi="Century Gothic"/>
        </w:rPr>
      </w:pPr>
    </w:p>
    <w:bookmarkStart w:id="26" w:name="_Toc82049051"/>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4.2.2. Description détaillée des activités du PDIC REDD + de l’espace de conservation Zecco (forêt communale de Zecco)</w:t>
      </w:r>
      <w:bookmarkEnd w:id="26"/>
    </w:p>
    <w:p>
      <w:pPr>
        <w:pStyle w:val="style179"/>
        <w:tabs>
          <w:tab w:val="left" w:leader="none" w:pos="9214"/>
          <w:tab w:val="left" w:leader="none" w:pos="9639"/>
        </w:tabs>
        <w:ind w:left="0"/>
        <w:jc w:val="both"/>
        <w:rPr>
          <w:rFonts w:ascii="Century Gothic" w:hAnsi="Century Gothic"/>
          <w:i/>
        </w:rPr>
      </w:pPr>
    </w:p>
    <w:bookmarkStart w:id="27" w:name="_Toc82049052"/>
    <w:p>
      <w:pPr>
        <w:pStyle w:val="style3"/>
        <w:numPr>
          <w:ilvl w:val="0"/>
          <w:numId w:val="0"/>
        </w:numPr>
        <w:tabs>
          <w:tab w:val="left" w:leader="none" w:pos="9214"/>
          <w:tab w:val="left" w:leader="none" w:pos="9639"/>
        </w:tabs>
        <w:rPr>
          <w:rFonts w:ascii="Century Gothic" w:hAnsi="Century Gothic"/>
          <w:szCs w:val="24"/>
          <w:highlight w:val="magenta"/>
        </w:rPr>
      </w:pPr>
      <w:r>
        <w:rPr>
          <w:rFonts w:ascii="Century Gothic" w:hAnsi="Century Gothic"/>
          <w:szCs w:val="24"/>
        </w:rPr>
        <w:t>4.2.2.1. Activités directement liées à la réduction des émissions de gaz à effet de serre</w:t>
      </w:r>
      <w:bookmarkEnd w:id="27"/>
      <w:r>
        <w:rPr>
          <w:rFonts w:ascii="Century Gothic" w:hAnsi="Century Gothic"/>
          <w:szCs w:val="24"/>
        </w:rPr>
        <w:t xml:space="preserve"> </w:t>
      </w:r>
    </w:p>
    <w:p>
      <w:pPr>
        <w:pStyle w:val="style0"/>
        <w:tabs>
          <w:tab w:val="left" w:leader="none" w:pos="9214"/>
          <w:tab w:val="left" w:leader="none" w:pos="9639"/>
        </w:tabs>
        <w:rPr>
          <w:rFonts w:ascii="Century Gothic" w:hAnsi="Century Gothic"/>
        </w:rPr>
      </w:pPr>
    </w:p>
    <w:p>
      <w:pPr>
        <w:pStyle w:val="style0"/>
        <w:jc w:val="both"/>
        <w:rPr>
          <w:rFonts w:ascii="Century Gothic" w:hAnsi="Century Gothic"/>
        </w:rPr>
      </w:pPr>
      <w:r>
        <w:rPr>
          <w:rFonts w:ascii="Century Gothic" w:hAnsi="Century Gothic"/>
          <w:b/>
          <w:i/>
          <w:u w:val="single"/>
        </w:rPr>
        <w:t>Activité 4.</w:t>
      </w:r>
      <w:r>
        <w:rPr>
          <w:rFonts w:ascii="Century Gothic" w:hAnsi="Century Gothic"/>
          <w:b/>
          <w:i/>
          <w:u w:val="single"/>
        </w:rPr>
        <w:t>2</w:t>
      </w:r>
      <w:r>
        <w:rPr>
          <w:rFonts w:ascii="Century Gothic" w:hAnsi="Century Gothic"/>
          <w:b/>
          <w:i/>
          <w:u w:val="single"/>
        </w:rPr>
        <w:t xml:space="preserve">.2.1.1. </w:t>
      </w:r>
      <w:r>
        <w:rPr>
          <w:rFonts w:ascii="Century Gothic" w:hAnsi="Century Gothic"/>
          <w:b/>
          <w:i/>
          <w:u w:val="single"/>
        </w:rPr>
        <w:t xml:space="preserve">Aménager et gérer durablement la forêt communale </w:t>
      </w:r>
      <w:r>
        <w:rPr>
          <w:rFonts w:ascii="Century Gothic" w:hAnsi="Century Gothic"/>
          <w:b/>
          <w:i/>
          <w:u w:val="single"/>
        </w:rPr>
        <w:t xml:space="preserve">de </w:t>
      </w:r>
      <w:r>
        <w:rPr>
          <w:rFonts w:ascii="Century Gothic" w:hAnsi="Century Gothic"/>
          <w:b/>
          <w:i/>
          <w:u w:val="single"/>
        </w:rPr>
        <w:t>Zecco</w:t>
      </w:r>
      <w:r>
        <w:rPr>
          <w:rFonts w:ascii="Century Gothic" w:hAnsi="Century Gothic"/>
          <w:b/>
          <w:i/>
          <w:u w:val="single"/>
        </w:rPr>
        <w:t> (</w:t>
      </w:r>
      <w:r>
        <w:rPr>
          <w:rFonts w:ascii="Century Gothic" w:hAnsi="Century Gothic"/>
          <w:b/>
          <w:i/>
          <w:u w:val="single"/>
        </w:rPr>
        <w:t xml:space="preserve">28,32 </w:t>
      </w:r>
      <w:r>
        <w:rPr>
          <w:rFonts w:ascii="Century Gothic" w:hAnsi="Century Gothic"/>
          <w:b/>
          <w:i/>
          <w:u w:val="single"/>
        </w:rPr>
        <w:t>hectares</w:t>
      </w:r>
      <w:r>
        <w:rPr>
          <w:rFonts w:ascii="Century Gothic" w:hAnsi="Century Gothic"/>
          <w:i/>
          <w:u w:val="single"/>
        </w:rPr>
        <w:t>)</w:t>
      </w:r>
    </w:p>
    <w:p>
      <w:pPr>
        <w:pStyle w:val="style0"/>
        <w:jc w:val="both"/>
        <w:rPr>
          <w:rFonts w:ascii="Century Gothic" w:hAnsi="Century Gothic"/>
        </w:rPr>
      </w:pPr>
    </w:p>
    <w:p>
      <w:pPr>
        <w:pStyle w:val="style0"/>
        <w:jc w:val="both"/>
        <w:rPr>
          <w:rFonts w:ascii="Century Gothic" w:hAnsi="Century Gothic"/>
        </w:rPr>
      </w:pPr>
      <w:r>
        <w:rPr>
          <w:rFonts w:ascii="Century Gothic" w:cs="Arial" w:hAnsi="Century Gothic"/>
          <w:b/>
        </w:rPr>
        <w:t>L’objectif</w:t>
      </w:r>
      <w:r>
        <w:rPr>
          <w:rFonts w:ascii="Century Gothic" w:cs="Arial" w:hAnsi="Century Gothic"/>
        </w:rPr>
        <w:t xml:space="preserve"> de l’activité est de planifier dans le temps et dans l’espace les actions à mener pour la préservation (délimitation, bornage, charte foncière, suivi écologique, etc.) et la valorisation des ressources de l’espace de conservation communal de </w:t>
      </w:r>
      <w:r>
        <w:rPr>
          <w:rFonts w:ascii="Century Gothic" w:cs="Arial" w:hAnsi="Century Gothic"/>
        </w:rPr>
        <w:t>Zecco</w:t>
      </w:r>
      <w:r>
        <w:rPr>
          <w:rFonts w:ascii="Century Gothic" w:cs="Arial" w:hAnsi="Century Gothic"/>
        </w:rPr>
        <w:t xml:space="preserve">. </w:t>
      </w:r>
      <w:r>
        <w:rPr>
          <w:rFonts w:ascii="Century Gothic" w:cs="Arial" w:hAnsi="Century Gothic"/>
          <w:b/>
        </w:rPr>
        <w:t>Les</w:t>
      </w:r>
      <w:r>
        <w:rPr>
          <w:rFonts w:ascii="Century Gothic" w:cs="Arial" w:hAnsi="Century Gothic"/>
        </w:rPr>
        <w:t xml:space="preserve"> </w:t>
      </w:r>
      <w:r>
        <w:rPr>
          <w:rFonts w:ascii="Century Gothic" w:cs="Arial" w:hAnsi="Century Gothic"/>
          <w:b/>
        </w:rPr>
        <w:t>moyens humains</w:t>
      </w:r>
      <w:r>
        <w:rPr>
          <w:rFonts w:ascii="Century Gothic" w:cs="Arial" w:hAnsi="Century Gothic"/>
        </w:rPr>
        <w:t xml:space="preserve"> nécessaires seront surtout de l’expertise en aménagement de ressources naturelles pour les formations, la réalisation des prescriptions, environnementales, etc. </w:t>
      </w:r>
      <w:r>
        <w:rPr>
          <w:rFonts w:ascii="Century Gothic" w:cs="Arial" w:hAnsi="Century Gothic"/>
          <w:b/>
        </w:rPr>
        <w:t>Les moyens techniques</w:t>
      </w:r>
      <w:r>
        <w:rPr>
          <w:rFonts w:ascii="Century Gothic" w:cs="Arial" w:hAnsi="Century Gothic"/>
        </w:rPr>
        <w:t xml:space="preserve"> seront constitués de technologie pour les activités d’aménagement (cartographie, inventaire des ressources etc.). </w:t>
      </w:r>
      <w:r>
        <w:rPr>
          <w:rFonts w:ascii="Century Gothic" w:cs="Arial" w:hAnsi="Century Gothic"/>
          <w:b/>
        </w:rPr>
        <w:t>Les moyens matériels</w:t>
      </w:r>
      <w:r>
        <w:rPr>
          <w:rFonts w:ascii="Century Gothic" w:cs="Arial" w:hAnsi="Century Gothic"/>
        </w:rPr>
        <w:t xml:space="preserve"> seront constitués de bornes, de plants pour la délimitation et l’enrichissement, etc.</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relatifs aux différentes sous activités. Ces ressources seront financées par le budget du PDIC/REDD+ de Zecco. L’organisation et la gestion de l’activité sera faite par le maire qui assure le rôle de coordination de l’activité, en collaboration avec le CVD et les services techniques du développement rural.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p>
    <w:p>
      <w:pPr>
        <w:pStyle w:val="style0"/>
        <w:tabs>
          <w:tab w:val="left" w:leader="none" w:pos="9214"/>
          <w:tab w:val="left" w:leader="none" w:pos="9639"/>
        </w:tabs>
        <w:jc w:val="both"/>
        <w:rPr>
          <w:rFonts w:ascii="Century Gothic" w:hAnsi="Century Gothic"/>
          <w:b/>
          <w:i/>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w:t>
      </w:r>
      <w:r>
        <w:rPr>
          <w:rFonts w:ascii="Century Gothic" w:hAnsi="Century Gothic"/>
          <w:i/>
          <w:u w:val="single"/>
        </w:rPr>
        <w:t>1</w:t>
      </w:r>
      <w:r>
        <w:rPr>
          <w:rFonts w:ascii="Century Gothic" w:hAnsi="Century Gothic"/>
          <w:i/>
          <w:u w:val="single"/>
        </w:rPr>
        <w:t xml:space="preserve">. Réaliser des plantations d’enrichissement/délimitation de la forêt de </w:t>
      </w:r>
      <w:r>
        <w:rPr>
          <w:rFonts w:ascii="Century Gothic" w:hAnsi="Century Gothic"/>
          <w:i/>
          <w:u w:val="single"/>
        </w:rPr>
        <w:t>Zecco</w:t>
      </w:r>
      <w:r>
        <w:rPr>
          <w:rFonts w:ascii="Century Gothic" w:hAnsi="Century Gothic"/>
          <w:i/>
          <w:u w:val="single"/>
        </w:rPr>
        <w:t> :</w:t>
      </w:r>
      <w:r>
        <w:rPr>
          <w:rFonts w:ascii="Century Gothic" w:hAnsi="Century Gothic"/>
        </w:rPr>
        <w:t xml:space="preserve"> </w:t>
      </w:r>
    </w:p>
    <w:p>
      <w:pPr>
        <w:pStyle w:val="style0"/>
        <w:tabs>
          <w:tab w:val="left" w:leader="none" w:pos="9214"/>
          <w:tab w:val="left" w:leader="none" w:pos="9639"/>
        </w:tabs>
        <w:jc w:val="both"/>
        <w:rPr>
          <w:rFonts w:ascii="Century Gothic" w:hAnsi="Century Gothic"/>
          <w:b/>
          <w:i/>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b/>
          <w:i/>
        </w:rPr>
        <w:t> </w:t>
      </w:r>
      <w:r>
        <w:rPr>
          <w:rFonts w:ascii="Century Gothic" w:hAnsi="Century Gothic"/>
        </w:rPr>
        <w:t xml:space="preserve">est d’accroitre la capacité de séquestration de carbone de la forêt </w:t>
      </w:r>
      <w:r>
        <w:rPr>
          <w:rFonts w:ascii="Century Gothic" w:hAnsi="Century Gothic"/>
        </w:rPr>
        <w:t xml:space="preserve">communale </w:t>
      </w:r>
      <w:r>
        <w:rPr>
          <w:rFonts w:ascii="Century Gothic" w:hAnsi="Century Gothic"/>
        </w:rPr>
        <w:t xml:space="preserve">de </w:t>
      </w:r>
      <w:r>
        <w:rPr>
          <w:rFonts w:ascii="Century Gothic" w:hAnsi="Century Gothic"/>
        </w:rPr>
        <w:t>Zecco</w:t>
      </w:r>
      <w:r>
        <w:rPr>
          <w:rFonts w:ascii="Century Gothic" w:hAnsi="Century Gothic"/>
        </w:rPr>
        <w:t xml:space="preserve"> d’une superficie de </w:t>
      </w:r>
      <w:r>
        <w:rPr>
          <w:rFonts w:ascii="Century Gothic" w:hAnsi="Century Gothic"/>
        </w:rPr>
        <w:t>28,32</w:t>
      </w:r>
      <w:r>
        <w:rPr>
          <w:rFonts w:ascii="Century Gothic" w:hAnsi="Century Gothic"/>
        </w:rPr>
        <w:t xml:space="preserve"> Hectares. </w:t>
      </w:r>
      <w:r>
        <w:rPr>
          <w:rFonts w:ascii="Century Gothic" w:hAnsi="Century Gothic"/>
          <w:b/>
        </w:rPr>
        <w:t>La méthode</w:t>
      </w:r>
      <w:r>
        <w:rPr>
          <w:rFonts w:ascii="Century Gothic" w:hAnsi="Century Gothic"/>
        </w:rPr>
        <w:t xml:space="preserve"> : Il s’agira des plantations de délimitation de 2 rangées sur une longueur totale de </w:t>
      </w:r>
      <w:r>
        <w:rPr>
          <w:rFonts w:ascii="Century Gothic" w:hAnsi="Century Gothic"/>
        </w:rPr>
        <w:t>25</w:t>
      </w:r>
      <w:r>
        <w:rPr>
          <w:rFonts w:ascii="Century Gothic" w:hAnsi="Century Gothic"/>
        </w:rPr>
        <w:t>00 mètres de périmètre (soit 1</w:t>
      </w:r>
      <w:r>
        <w:rPr>
          <w:rFonts w:ascii="Century Gothic" w:hAnsi="Century Gothic"/>
        </w:rPr>
        <w:t>25</w:t>
      </w:r>
      <w:r>
        <w:rPr>
          <w:rFonts w:ascii="Century Gothic" w:hAnsi="Century Gothic"/>
        </w:rPr>
        <w:t xml:space="preserve">0 plants en raison d’un écartement de 4mètres/4) et d’enrichissement à l’intérieur de la forêt soit 5 hectares (3125 plants). Ce qui donne un </w:t>
      </w:r>
      <w:r>
        <w:rPr>
          <w:rFonts w:ascii="Century Gothic" w:hAnsi="Century Gothic"/>
        </w:rPr>
        <w:t xml:space="preserve">total de 4375 Plants par an soit 13 125 plants pour les trois premières années du projet. </w:t>
      </w:r>
      <w:r>
        <w:rPr>
          <w:rFonts w:ascii="Century Gothic" w:hAnsi="Century Gothic"/>
          <w:b/>
        </w:rPr>
        <w:t>Les moyens humains</w:t>
      </w:r>
      <w:r>
        <w:rPr>
          <w:rFonts w:ascii="Century Gothic" w:hAnsi="Century Gothic"/>
          <w:b/>
          <w:i/>
        </w:rPr>
        <w:t xml:space="preserve"> </w:t>
      </w:r>
      <w:r>
        <w:rPr>
          <w:rFonts w:ascii="Century Gothic" w:hAnsi="Century Gothic"/>
        </w:rPr>
        <w:t xml:space="preserve">sont constitués de l’expertise technique du service forestier et l’accompagnement des populations riveraines (comité de gestion) pour les trouaisons, la plantation et les entretiens. </w:t>
      </w:r>
      <w:r>
        <w:rPr>
          <w:rFonts w:ascii="Century Gothic" w:hAnsi="Century Gothic"/>
          <w:b/>
        </w:rPr>
        <w:t>Les moyens matériels</w:t>
      </w:r>
      <w:r>
        <w:rPr>
          <w:rFonts w:ascii="Century Gothic" w:hAnsi="Century Gothic"/>
        </w:rPr>
        <w:t xml:space="preserve"> seront constitués de plants, de pioches, pic à gaz et de pelles, de ruban métrique (piquetage).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 Ces ressources seront financées par le budget du PDIC/REDD+ de Tiébélé. Les trouaisons, plantations et entretien des plantations seront la contribution des populations. L’organisation et la gestion de l’activité sera faite par la commune à travers le maire qui assure le rôle de coordinateur en collaboration avec, l’association Ga Mo Wigna, le service forestier et le comité de gestion.  </w:t>
      </w:r>
    </w:p>
    <w:p>
      <w:pPr>
        <w:pStyle w:val="style0"/>
        <w:tabs>
          <w:tab w:val="left" w:leader="none" w:pos="9214"/>
          <w:tab w:val="left" w:leader="none" w:pos="9639"/>
        </w:tabs>
        <w:jc w:val="both"/>
        <w:rPr>
          <w:rFonts w:ascii="Century Gothic" w:hAnsi="Century Gothic"/>
        </w:rPr>
      </w:pPr>
      <w:r>
        <w:rPr>
          <w:rFonts w:ascii="Century Gothic" w:hAnsi="Century Gothic"/>
        </w:rPr>
        <w:t xml:space="preserve"> </w:t>
      </w:r>
    </w:p>
    <w:p>
      <w:pPr>
        <w:pStyle w:val="style0"/>
        <w:spacing w:after="160" w:lineRule="auto" w:line="259"/>
        <w:rPr>
          <w:rFonts w:ascii="Century Gothic" w:hAnsi="Century Gothic"/>
        </w:rPr>
      </w:pPr>
      <w:r>
        <w:rPr>
          <w:rFonts w:ascii="Century Gothic" w:hAnsi="Century Gothic"/>
        </w:rPr>
        <w:br w:type="page"/>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i/>
          <w:spacing w:val="-1"/>
          <w:u w:val="single"/>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w:t>
      </w:r>
      <w:r>
        <w:rPr>
          <w:rFonts w:ascii="Century Gothic" w:hAnsi="Century Gothic"/>
          <w:i/>
          <w:u w:val="single"/>
        </w:rPr>
        <w:t>2</w:t>
      </w:r>
      <w:r>
        <w:rPr>
          <w:rFonts w:ascii="Century Gothic" w:hAnsi="Century Gothic"/>
          <w:i/>
          <w:u w:val="single"/>
        </w:rPr>
        <w:t xml:space="preserve">.  Réaliser des plantations individuelles dans les villages riverains dans l’espace de conservation </w:t>
      </w:r>
      <w:r>
        <w:rPr>
          <w:rFonts w:ascii="Century Gothic" w:hAnsi="Century Gothic"/>
          <w:i/>
          <w:spacing w:val="-1"/>
          <w:u w:val="single"/>
        </w:rPr>
        <w:t xml:space="preserve">Zecco </w:t>
      </w:r>
      <w:r>
        <w:rPr>
          <w:rFonts w:ascii="Century Gothic" w:hAnsi="Century Gothic"/>
          <w:bCs/>
          <w:i/>
          <w:u w:val="single"/>
        </w:rPr>
        <w:t>(villages de Baré et Guian)</w:t>
      </w:r>
      <w:r>
        <w:rPr>
          <w:rFonts w:ascii="Century Gothic" w:hAnsi="Century Gothic"/>
          <w:i/>
          <w:u w:val="single"/>
        </w:rPr>
        <w:t>.</w:t>
      </w:r>
    </w:p>
    <w:p>
      <w:pPr>
        <w:pStyle w:val="style0"/>
        <w:tabs>
          <w:tab w:val="left" w:leader="none" w:pos="9214"/>
          <w:tab w:val="left" w:leader="none" w:pos="9639"/>
        </w:tabs>
        <w:jc w:val="both"/>
        <w:rPr>
          <w:rFonts w:ascii="Century Gothic" w:hAnsi="Century Gothic"/>
          <w:i/>
          <w:spacing w:val="-1"/>
          <w:u w:val="single"/>
        </w:rPr>
      </w:pPr>
    </w:p>
    <w:p>
      <w:pPr>
        <w:pStyle w:val="style0"/>
        <w:tabs>
          <w:tab w:val="left" w:leader="none" w:pos="9214"/>
          <w:tab w:val="left" w:leader="none" w:pos="9639"/>
        </w:tabs>
        <w:jc w:val="both"/>
        <w:rPr>
          <w:rFonts w:ascii="Century Gothic" w:hAnsi="Century Gothic"/>
        </w:rPr>
      </w:pPr>
      <w:r>
        <w:rPr>
          <w:rFonts w:ascii="Century Gothic" w:hAnsi="Century Gothic"/>
          <w:b/>
          <w:bCs/>
        </w:rPr>
        <w:t>L’objectif de l’activité </w:t>
      </w:r>
      <w:r>
        <w:rPr>
          <w:rFonts w:ascii="Century Gothic" w:hAnsi="Century Gothic"/>
          <w:bCs/>
        </w:rPr>
        <w:t xml:space="preserve">est de renforcer le potentiel de séquestration des forêts et de satisfaire les besoins en fruits, légumes et bois des populations. </w:t>
      </w:r>
      <w:r>
        <w:rPr>
          <w:rFonts w:ascii="Century Gothic" w:hAnsi="Century Gothic"/>
          <w:b/>
        </w:rPr>
        <w:t>La m</w:t>
      </w:r>
      <w:r>
        <w:rPr>
          <w:rFonts w:ascii="Century Gothic" w:hAnsi="Century Gothic"/>
          <w:b/>
          <w:bCs/>
        </w:rPr>
        <w:t>éthode</w:t>
      </w:r>
      <w:r>
        <w:rPr>
          <w:rFonts w:ascii="Century Gothic" w:hAnsi="Century Gothic"/>
          <w:bCs/>
        </w:rPr>
        <w:t xml:space="preserve"> va reposer sur </w:t>
      </w:r>
      <w:r>
        <w:rPr>
          <w:rFonts w:ascii="Century Gothic" w:hAnsi="Century Gothic"/>
        </w:rPr>
        <w:t xml:space="preserve">l’appui en plants avec les espèces utilitaires aux producteurs et aux groupements pour la réalisation de plantations individuelles afin de renforcer les espaces agroforestiers. Pour chacun </w:t>
      </w:r>
      <w:r>
        <w:rPr>
          <w:rFonts w:ascii="Century Gothic" w:hAnsi="Century Gothic"/>
        </w:rPr>
        <w:t xml:space="preserve">les </w:t>
      </w:r>
      <w:r>
        <w:rPr>
          <w:rFonts w:ascii="Century Gothic" w:hAnsi="Century Gothic"/>
        </w:rPr>
        <w:t xml:space="preserve">deux villages de l’espace de conservation de </w:t>
      </w:r>
      <w:r>
        <w:rPr>
          <w:rFonts w:ascii="Century Gothic" w:hAnsi="Century Gothic"/>
          <w:bCs/>
        </w:rPr>
        <w:t>que sont Baré et Guian</w:t>
      </w:r>
      <w:r>
        <w:rPr>
          <w:rFonts w:ascii="Century Gothic" w:hAnsi="Century Gothic"/>
        </w:rPr>
        <w:t>, cinquante (</w:t>
      </w:r>
      <w:r>
        <w:rPr>
          <w:rFonts w:ascii="Century Gothic" w:hAnsi="Century Gothic"/>
        </w:rPr>
        <w:t>75</w:t>
      </w:r>
      <w:r>
        <w:rPr>
          <w:rFonts w:ascii="Century Gothic" w:hAnsi="Century Gothic"/>
        </w:rPr>
        <w:t>) personnes seront sélectionnées</w:t>
      </w:r>
      <w:r>
        <w:rPr>
          <w:rFonts w:ascii="Century Gothic" w:hAnsi="Century Gothic"/>
        </w:rPr>
        <w:t xml:space="preserve"> à Baré et 25 personnes à Guian</w:t>
      </w:r>
      <w:r>
        <w:rPr>
          <w:rFonts w:ascii="Century Gothic" w:hAnsi="Century Gothic"/>
        </w:rPr>
        <w:t xml:space="preserve">, avec l’appui des CVD et bénéficieront chacun des </w:t>
      </w:r>
      <w:r>
        <w:rPr>
          <w:rFonts w:ascii="Century Gothic" w:hAnsi="Century Gothic"/>
        </w:rPr>
        <w:t xml:space="preserve">50 </w:t>
      </w:r>
      <w:r>
        <w:rPr>
          <w:rFonts w:ascii="Century Gothic" w:hAnsi="Century Gothic"/>
        </w:rPr>
        <w:t xml:space="preserve">plants pour les plantations, haies, etc. Au total </w:t>
      </w:r>
      <w:r>
        <w:rPr>
          <w:rFonts w:ascii="Century Gothic" w:hAnsi="Century Gothic"/>
        </w:rPr>
        <w:t>375</w:t>
      </w:r>
      <w:r>
        <w:rPr>
          <w:rFonts w:ascii="Century Gothic" w:hAnsi="Century Gothic"/>
        </w:rPr>
        <w:t>0 plants seront reboisés par an pendant trois ans soit un total de 1</w:t>
      </w:r>
      <w:r>
        <w:rPr>
          <w:rFonts w:ascii="Century Gothic" w:hAnsi="Century Gothic"/>
        </w:rPr>
        <w:t>1250</w:t>
      </w:r>
      <w:r>
        <w:rPr>
          <w:rFonts w:ascii="Century Gothic" w:hAnsi="Century Gothic"/>
        </w:rPr>
        <w:t xml:space="preserve"> plants</w:t>
      </w:r>
      <w:r>
        <w:rPr>
          <w:rFonts w:ascii="Century Gothic" w:hAnsi="Century Gothic"/>
        </w:rPr>
        <w:t xml:space="preserve"> pour les trois première années du projet</w:t>
      </w:r>
      <w:r>
        <w:rPr>
          <w:rFonts w:ascii="Century Gothic" w:hAnsi="Century Gothic"/>
        </w:rPr>
        <w:t xml:space="preserve">. Les plants seront achetés à l’an 1 du projet aux pépiniéristes de sorte à leur permettre de poursuivre l’activité pour les deux prochaines campagnes. </w:t>
      </w:r>
      <w:r>
        <w:rPr>
          <w:rFonts w:ascii="Century Gothic" w:hAnsi="Century Gothic"/>
          <w:b/>
        </w:rPr>
        <w:t>Les résultats attendu</w:t>
      </w:r>
      <w:r>
        <w:rPr>
          <w:rFonts w:ascii="Century Gothic" w:hAnsi="Century Gothic"/>
        </w:rPr>
        <w:t xml:space="preserve">s sont : (1) le potentiel de séquestration des gaz à effet de serre de l’espace de conservation </w:t>
      </w:r>
      <w:r>
        <w:rPr>
          <w:rFonts w:ascii="Century Gothic" w:hAnsi="Century Gothic"/>
        </w:rPr>
        <w:t>Zecco</w:t>
      </w:r>
      <w:r>
        <w:rPr>
          <w:rFonts w:ascii="Century Gothic" w:hAnsi="Century Gothic"/>
          <w:i/>
          <w:spacing w:val="-1"/>
          <w:u w:val="single"/>
        </w:rPr>
        <w:t> </w:t>
      </w:r>
      <w:r>
        <w:rPr>
          <w:rFonts w:ascii="Century Gothic" w:hAnsi="Century Gothic"/>
        </w:rPr>
        <w:t xml:space="preserve"> est renforcé et (2) la disponibilité des plants utilitaires dans les ménages est renforcée</w:t>
      </w:r>
      <w:r>
        <w:rPr>
          <w:rFonts w:ascii="Century Gothic" w:hAnsi="Century Gothic"/>
          <w:b/>
          <w:i/>
        </w:rPr>
        <w:t xml:space="preserve">. </w:t>
      </w:r>
      <w:r>
        <w:rPr>
          <w:rFonts w:ascii="Century Gothic" w:hAnsi="Century Gothic"/>
          <w:b/>
        </w:rPr>
        <w:t>Les impacts</w:t>
      </w:r>
      <w:r>
        <w:rPr>
          <w:rFonts w:ascii="Century Gothic" w:hAnsi="Century Gothic"/>
        </w:rPr>
        <w:t xml:space="preserve"> sont le renforcement du couvert végétal et la valorisation à moyen terme des plants reboisés (fruits, bois). </w:t>
      </w:r>
      <w:r>
        <w:rPr>
          <w:rFonts w:ascii="Century Gothic" w:hAnsi="Century Gothic"/>
          <w:b/>
        </w:rPr>
        <w:t>Les moyens humains</w:t>
      </w:r>
      <w:r>
        <w:rPr>
          <w:rFonts w:ascii="Century Gothic" w:hAnsi="Century Gothic"/>
        </w:rPr>
        <w:t xml:space="preserve"> sont constitués de l’expertise technique du service forestier et de la main d’œuvre des bénéficiaires pour les trouaisons, la plantation et les entretiens des plants reçus. </w:t>
      </w:r>
      <w:r>
        <w:rPr>
          <w:rFonts w:ascii="Century Gothic" w:hAnsi="Century Gothic"/>
          <w:b/>
        </w:rPr>
        <w:t>Les moyens matériels</w:t>
      </w:r>
      <w:r>
        <w:rPr>
          <w:rFonts w:ascii="Century Gothic" w:hAnsi="Century Gothic"/>
        </w:rPr>
        <w:t xml:space="preserve"> seront constitués de plants, de pic à gaz et de pelles, des mètres ruban …).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 Ces ressources seront financées par le budget du PDIC/REDD+ de </w:t>
      </w:r>
      <w:r>
        <w:rPr>
          <w:rFonts w:ascii="Century Gothic" w:hAnsi="Century Gothic"/>
        </w:rPr>
        <w:t>Zecco</w:t>
      </w:r>
      <w:r>
        <w:rPr>
          <w:rFonts w:ascii="Century Gothic" w:hAnsi="Century Gothic"/>
        </w:rPr>
        <w:t xml:space="preserve">. Les trouaisons, plantations et entretien des plantations seront la contribution des populations. L’organisation et la gestion de l’activité sera faite par la commune à travers le maire qui assure le rôle de coordinateur en collaboration avec, l’association Ga Mo Wigna, le service forestier.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bCs/>
          <w:i/>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w:t>
      </w:r>
      <w:r>
        <w:rPr>
          <w:rFonts w:ascii="Century Gothic" w:hAnsi="Century Gothic"/>
          <w:i/>
          <w:u w:val="single"/>
        </w:rPr>
        <w:t>3</w:t>
      </w:r>
      <w:r>
        <w:rPr>
          <w:rFonts w:ascii="Century Gothic" w:hAnsi="Century Gothic"/>
          <w:bCs/>
          <w:i/>
          <w:u w:val="single"/>
        </w:rPr>
        <w:t xml:space="preserve">. </w:t>
      </w:r>
      <w:r>
        <w:rPr>
          <w:rFonts w:ascii="Century Gothic" w:hAnsi="Century Gothic"/>
          <w:i/>
          <w:u w:val="single"/>
        </w:rPr>
        <w:t xml:space="preserve">Mettre en place un comité villageois de gestion </w:t>
      </w:r>
      <w:r>
        <w:rPr>
          <w:rFonts w:ascii="Century Gothic" w:hAnsi="Century Gothic"/>
          <w:bCs/>
          <w:i/>
          <w:u w:val="single"/>
        </w:rPr>
        <w:t>dans l’espace de conservation Zecco.</w:t>
      </w:r>
      <w:r>
        <w:rPr>
          <w:rFonts w:ascii="Century Gothic" w:hAnsi="Century Gothic"/>
          <w:b/>
          <w:bCs/>
          <w:i/>
        </w:rPr>
        <w:t xml:space="preserve"> </w:t>
      </w:r>
    </w:p>
    <w:p>
      <w:pPr>
        <w:pStyle w:val="style0"/>
        <w:tabs>
          <w:tab w:val="left" w:leader="none" w:pos="9214"/>
          <w:tab w:val="left" w:leader="none" w:pos="9639"/>
        </w:tabs>
        <w:jc w:val="both"/>
        <w:rPr>
          <w:rFonts w:ascii="Century Gothic" w:hAnsi="Century Gothic"/>
          <w:i/>
        </w:rPr>
      </w:pPr>
    </w:p>
    <w:p>
      <w:pPr>
        <w:pStyle w:val="style0"/>
        <w:tabs>
          <w:tab w:val="left" w:leader="none" w:pos="9214"/>
          <w:tab w:val="left" w:leader="none" w:pos="9639"/>
        </w:tabs>
        <w:jc w:val="both"/>
        <w:rPr>
          <w:rFonts w:ascii="Century Gothic" w:hAnsi="Century Gothic"/>
        </w:rPr>
      </w:pPr>
      <w:r>
        <w:rPr>
          <w:rFonts w:ascii="Century Gothic" w:hAnsi="Century Gothic"/>
          <w:b/>
          <w:bCs/>
        </w:rPr>
        <w:t xml:space="preserve">L’objectif de l’activité </w:t>
      </w:r>
      <w:r>
        <w:rPr>
          <w:rFonts w:ascii="Century Gothic" w:hAnsi="Century Gothic"/>
          <w:bCs/>
        </w:rPr>
        <w:t xml:space="preserve">est de mettre en place un outil de gouvernance qui favorise la gestion durable des ressources. </w:t>
      </w:r>
      <w:r>
        <w:rPr>
          <w:rFonts w:ascii="Century Gothic" w:hAnsi="Century Gothic"/>
          <w:b/>
          <w:bCs/>
        </w:rPr>
        <w:t>La méthode </w:t>
      </w:r>
      <w:r>
        <w:rPr>
          <w:rFonts w:ascii="Century Gothic" w:hAnsi="Century Gothic"/>
          <w:bCs/>
        </w:rPr>
        <w:t xml:space="preserve">va reposer sur une consultation des acteurs qui désigneront leurs représentants au comité de gestion. La préparation de la mise en place de comité de gestion se fera sous forme d’assemblée villageoises avec a participation de la mairie et des services techniques. </w:t>
      </w:r>
      <w:r>
        <w:rPr>
          <w:rFonts w:ascii="Century Gothic" w:hAnsi="Century Gothic"/>
          <w:b/>
          <w:bCs/>
        </w:rPr>
        <w:t>Le résultat attendu</w:t>
      </w:r>
      <w:r>
        <w:rPr>
          <w:rFonts w:ascii="Century Gothic" w:hAnsi="Century Gothic"/>
          <w:bCs/>
        </w:rPr>
        <w:t xml:space="preserve"> est</w:t>
      </w:r>
      <w:r>
        <w:rPr>
          <w:rFonts w:ascii="Century Gothic" w:hAnsi="Century Gothic"/>
          <w:b/>
          <w:bCs/>
        </w:rPr>
        <w:t xml:space="preserve"> </w:t>
      </w:r>
      <w:r>
        <w:rPr>
          <w:rFonts w:ascii="Century Gothic" w:hAnsi="Century Gothic"/>
          <w:bCs/>
        </w:rPr>
        <w:t>que le</w:t>
      </w:r>
      <w:r>
        <w:rPr>
          <w:rFonts w:ascii="Century Gothic" w:hAnsi="Century Gothic"/>
        </w:rPr>
        <w:t xml:space="preserve"> comité villageois </w:t>
      </w:r>
      <w:r>
        <w:rPr>
          <w:rFonts w:ascii="Century Gothic" w:hAnsi="Century Gothic"/>
        </w:rPr>
        <w:t xml:space="preserve">de gestion </w:t>
      </w:r>
      <w:r>
        <w:rPr>
          <w:rFonts w:ascii="Century Gothic" w:hAnsi="Century Gothic"/>
        </w:rPr>
        <w:t xml:space="preserve">de la forêt de Gonré de sept (7) membres jouissant d’une légitimité est mis en place et les ressources matérielles et financières de la forêt </w:t>
      </w:r>
      <w:r>
        <w:rPr>
          <w:rFonts w:ascii="Century Gothic" w:hAnsi="Century Gothic"/>
        </w:rPr>
        <w:t>communale de Zecco</w:t>
      </w:r>
      <w:r>
        <w:rPr>
          <w:rFonts w:ascii="Century Gothic" w:hAnsi="Century Gothic"/>
        </w:rPr>
        <w:t xml:space="preserve"> sont gérées durablement</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documents papiers (documents statutaires, Procès-Verbal d’Assemblée Générale, document de reconnaissance) et </w:t>
      </w:r>
      <w:r>
        <w:rPr>
          <w:rFonts w:ascii="Century Gothic" w:hAnsi="Century Gothic"/>
          <w:b/>
        </w:rPr>
        <w:t>moyens humains</w:t>
      </w:r>
      <w:r>
        <w:rPr>
          <w:rFonts w:ascii="Century Gothic" w:hAnsi="Century Gothic"/>
        </w:rPr>
        <w:t xml:space="preserve"> seront constitués de l’expertise technique du service de l’agriculture. </w:t>
      </w:r>
      <w:r>
        <w:rPr>
          <w:rFonts w:ascii="Century Gothic" w:hAnsi="Century Gothic"/>
          <w:b/>
        </w:rPr>
        <w:t>Les moyens financiers</w:t>
      </w:r>
      <w:r>
        <w:rPr>
          <w:rFonts w:ascii="Century Gothic" w:hAnsi="Century Gothic"/>
        </w:rPr>
        <w:t xml:space="preserve"> seront constitués de frais de prise en charge du représentant </w:t>
      </w:r>
      <w:r>
        <w:rPr>
          <w:rFonts w:ascii="Century Gothic" w:hAnsi="Century Gothic"/>
          <w:bCs/>
        </w:rPr>
        <w:t>de la mairie et des services techniques</w:t>
      </w:r>
      <w:r>
        <w:rPr>
          <w:rFonts w:ascii="Century Gothic" w:hAnsi="Century Gothic"/>
        </w:rPr>
        <w:t xml:space="preserve"> et les frais de rafraîchissement lors des assemblées villageoises. Ces ressources seront financées par le budget du PDIC/REDD+ de Zecco. L’organisation et la gestion de l’activité sera faite par la commune qui assure le rôle de coordination.</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b/>
          <w:bCs/>
          <w:i/>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w:t>
      </w:r>
      <w:r>
        <w:rPr>
          <w:rFonts w:ascii="Century Gothic" w:hAnsi="Century Gothic"/>
          <w:i/>
          <w:u w:val="single"/>
        </w:rPr>
        <w:t>4</w:t>
      </w:r>
      <w:r>
        <w:rPr>
          <w:rFonts w:ascii="Century Gothic" w:hAnsi="Century Gothic"/>
          <w:bCs/>
          <w:i/>
          <w:u w:val="single"/>
        </w:rPr>
        <w:t xml:space="preserve">. Former/ recycler 07 membres du comité de gestion / suivi de la charte sur leurs attributions dans l’espace de conservation </w:t>
      </w:r>
      <w:r>
        <w:rPr>
          <w:rFonts w:ascii="Century Gothic" w:hAnsi="Century Gothic"/>
          <w:bCs/>
          <w:i/>
          <w:u w:val="single"/>
        </w:rPr>
        <w:t>Zecco</w:t>
      </w:r>
      <w:r>
        <w:rPr>
          <w:rFonts w:ascii="Century Gothic" w:hAnsi="Century Gothic"/>
          <w:bCs/>
          <w:i/>
          <w:u w:val="single"/>
        </w:rPr>
        <w:t>.</w:t>
      </w:r>
      <w:r>
        <w:rPr>
          <w:rFonts w:ascii="Century Gothic" w:hAnsi="Century Gothic"/>
          <w:b/>
          <w:bCs/>
          <w:i/>
        </w:rPr>
        <w:t xml:space="preserve"> </w:t>
      </w:r>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rPr>
          <w:rFonts w:ascii="Century Gothic" w:hAnsi="Century Gothic"/>
          <w:bCs/>
        </w:rPr>
      </w:pPr>
      <w:r>
        <w:rPr>
          <w:rFonts w:ascii="Century Gothic" w:hAnsi="Century Gothic"/>
          <w:b/>
          <w:bCs/>
        </w:rPr>
        <w:t>L’objectif de l’activité</w:t>
      </w:r>
      <w:r>
        <w:rPr>
          <w:rFonts w:ascii="Century Gothic" w:hAnsi="Century Gothic"/>
          <w:bCs/>
        </w:rPr>
        <w:t xml:space="preserve"> est de permettre au comité de gestion d’exercer pleinement leurs missions de gestion/suivi de la mise en œuvre de la charte au niveau local. </w:t>
      </w:r>
      <w:r>
        <w:rPr>
          <w:rFonts w:ascii="Century Gothic" w:hAnsi="Century Gothic"/>
          <w:b/>
          <w:bCs/>
        </w:rPr>
        <w:t>La méthode </w:t>
      </w:r>
      <w:r>
        <w:rPr>
          <w:rFonts w:ascii="Century Gothic" w:hAnsi="Century Gothic"/>
          <w:bCs/>
        </w:rPr>
        <w:t>reposera sur</w:t>
      </w:r>
      <w:r>
        <w:rPr>
          <w:rFonts w:ascii="Century Gothic" w:hAnsi="Century Gothic"/>
          <w:b/>
          <w:bCs/>
        </w:rPr>
        <w:t xml:space="preserve"> </w:t>
      </w:r>
      <w:r>
        <w:rPr>
          <w:rFonts w:ascii="Century Gothic" w:hAnsi="Century Gothic"/>
          <w:bCs/>
        </w:rPr>
        <w:t xml:space="preserve">une formation initiale d’une journée suivie d’une session de recyclage et de suivi in situ. L’animation de la formation et du recyclage sera assurée par l’agent SFR de Tiébélé (Zecco n’ayant pas de service foncier opérationnel) avec l’appui du service départemental en charge de l’agriculture de Zecco. </w:t>
      </w:r>
      <w:r>
        <w:rPr>
          <w:rFonts w:ascii="Century Gothic" w:hAnsi="Century Gothic"/>
          <w:b/>
          <w:bCs/>
        </w:rPr>
        <w:t>Les résultats attendus </w:t>
      </w:r>
      <w:r>
        <w:rPr>
          <w:rFonts w:ascii="Century Gothic" w:hAnsi="Century Gothic"/>
          <w:bCs/>
        </w:rPr>
        <w:t xml:space="preserve">sont que (1) les membres du comité de gestion/suivi de l’espace de conservation </w:t>
      </w:r>
      <w:r>
        <w:rPr>
          <w:rFonts w:ascii="Century Gothic" w:hAnsi="Century Gothic"/>
          <w:bCs/>
        </w:rPr>
        <w:t>Zecco</w:t>
      </w:r>
      <w:r>
        <w:rPr>
          <w:rFonts w:ascii="Century Gothic" w:hAnsi="Century Gothic"/>
          <w:bCs/>
        </w:rPr>
        <w:t xml:space="preserve"> renforcent leurs capacités à l’exercice de leur mission et (2) sont capables d’informer/sensibiliser sainement les populations riveraines sur sa gestion. </w:t>
      </w:r>
      <w:r>
        <w:rPr>
          <w:rFonts w:ascii="Century Gothic" w:hAnsi="Century Gothic"/>
          <w:b/>
        </w:rPr>
        <w:t>Les moyens physiques</w:t>
      </w:r>
      <w:r>
        <w:rPr>
          <w:rFonts w:ascii="Century Gothic" w:hAnsi="Century Gothic"/>
        </w:rPr>
        <w:t xml:space="preserve"> se résumeront en documents papiers (fournitures) et </w:t>
      </w:r>
      <w:r>
        <w:rPr>
          <w:rFonts w:ascii="Century Gothic" w:hAnsi="Century Gothic"/>
          <w:b/>
        </w:rPr>
        <w:t>moyens humains</w:t>
      </w:r>
      <w:r>
        <w:rPr>
          <w:rFonts w:ascii="Century Gothic" w:hAnsi="Century Gothic"/>
        </w:rPr>
        <w:t xml:space="preserve"> constitués de l’expertise </w:t>
      </w:r>
      <w:r>
        <w:rPr>
          <w:rFonts w:ascii="Century Gothic" w:hAnsi="Century Gothic"/>
          <w:bCs/>
        </w:rPr>
        <w:t>l’agent SFR de Tiébélé</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en charge et rencontres. Ces ressources seront financées par le budget du PDIC/REDD+ de Zecco. L’organisation et la gestion de l’activité sera faite par le maire qui assure le rôle de coordination de l’activité en collaboration avec le comité de gestion.  </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outlineLvl w:val="3"/>
        <w:rPr>
          <w:rFonts w:ascii="Century Gothic" w:hAnsi="Century Gothic"/>
          <w:i/>
          <w:u w:val="single"/>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w:t>
      </w:r>
      <w:r>
        <w:rPr>
          <w:rFonts w:ascii="Century Gothic" w:hAnsi="Century Gothic"/>
          <w:i/>
          <w:u w:val="single"/>
        </w:rPr>
        <w:t>5</w:t>
      </w:r>
      <w:r>
        <w:rPr>
          <w:rFonts w:ascii="Century Gothic" w:hAnsi="Century Gothic"/>
          <w:bCs/>
          <w:i/>
          <w:u w:val="single"/>
        </w:rPr>
        <w:t xml:space="preserve">. </w:t>
      </w:r>
      <w:r>
        <w:rPr>
          <w:rFonts w:ascii="Century Gothic" w:hAnsi="Century Gothic"/>
          <w:i/>
          <w:u w:val="single"/>
        </w:rPr>
        <w:t>Elaborer une charte locale de</w:t>
      </w:r>
      <w:r>
        <w:rPr>
          <w:rFonts w:ascii="Century Gothic" w:hAnsi="Century Gothic"/>
          <w:i/>
          <w:u w:val="single"/>
        </w:rPr>
        <w:t xml:space="preserve"> gestion</w:t>
      </w:r>
      <w:r>
        <w:rPr>
          <w:rFonts w:ascii="Century Gothic" w:hAnsi="Century Gothic"/>
          <w:i/>
          <w:u w:val="single"/>
        </w:rPr>
        <w:t xml:space="preserve"> foncière de la forêt de </w:t>
      </w:r>
      <w:r>
        <w:rPr>
          <w:rFonts w:ascii="Century Gothic" w:hAnsi="Century Gothic"/>
          <w:i/>
          <w:u w:val="single"/>
        </w:rPr>
        <w:t>Zecco</w:t>
      </w:r>
    </w:p>
    <w:p>
      <w:pPr>
        <w:pStyle w:val="style0"/>
        <w:tabs>
          <w:tab w:val="left" w:leader="none" w:pos="9214"/>
          <w:tab w:val="left" w:leader="none" w:pos="9639"/>
        </w:tabs>
        <w:jc w:val="both"/>
        <w:outlineLvl w:val="3"/>
        <w:rPr>
          <w:rFonts w:ascii="Century Gothic" w:hAnsi="Century Gothic"/>
          <w:i/>
          <w:u w:val="single"/>
        </w:rPr>
      </w:pPr>
    </w:p>
    <w:p>
      <w:pPr>
        <w:pStyle w:val="style0"/>
        <w:tabs>
          <w:tab w:val="left" w:leader="none" w:pos="9214"/>
          <w:tab w:val="left" w:leader="none" w:pos="9639"/>
        </w:tabs>
        <w:jc w:val="both"/>
        <w:outlineLvl w:val="3"/>
        <w:rPr>
          <w:rFonts w:ascii="Century Gothic" w:hAnsi="Century Gothic"/>
        </w:rPr>
      </w:pPr>
      <w:r>
        <w:rPr>
          <w:rFonts w:ascii="Century Gothic" w:hAnsi="Century Gothic"/>
          <w:b/>
        </w:rPr>
        <w:t>L’objectif</w:t>
      </w:r>
      <w:r>
        <w:rPr>
          <w:rFonts w:ascii="Century Gothic" w:hAnsi="Century Gothic"/>
        </w:rPr>
        <w:t xml:space="preserve"> est de doter la forêt </w:t>
      </w:r>
      <w:r>
        <w:rPr>
          <w:rFonts w:ascii="Century Gothic" w:hAnsi="Century Gothic"/>
        </w:rPr>
        <w:t xml:space="preserve">communale </w:t>
      </w:r>
      <w:r>
        <w:rPr>
          <w:rFonts w:ascii="Century Gothic" w:hAnsi="Century Gothic"/>
        </w:rPr>
        <w:t xml:space="preserve">de </w:t>
      </w:r>
      <w:r>
        <w:rPr>
          <w:rFonts w:ascii="Century Gothic" w:hAnsi="Century Gothic"/>
        </w:rPr>
        <w:t>Zecco</w:t>
      </w:r>
      <w:r>
        <w:rPr>
          <w:rFonts w:ascii="Century Gothic" w:hAnsi="Century Gothic"/>
        </w:rPr>
        <w:t xml:space="preserve"> d’un outil nécessaires à sa bonne gestion afin d’assurer sa durabilité. La </w:t>
      </w:r>
      <w:r>
        <w:rPr>
          <w:rFonts w:ascii="Century Gothic" w:hAnsi="Century Gothic"/>
          <w:b/>
        </w:rPr>
        <w:t>méthode</w:t>
      </w:r>
      <w:r>
        <w:rPr>
          <w:rFonts w:ascii="Century Gothic" w:hAnsi="Century Gothic"/>
        </w:rPr>
        <w:t xml:space="preserve"> consistera à élaborer les TDR et envoyer une correspondance à trois consultants parmi lesquels un sera recruté pour mener l’étude. Le document de la charte foncière constitue le </w:t>
      </w:r>
      <w:r>
        <w:rPr>
          <w:rFonts w:ascii="Century Gothic" w:hAnsi="Century Gothic"/>
          <w:b/>
        </w:rPr>
        <w:t>résultat</w:t>
      </w:r>
      <w:r>
        <w:rPr>
          <w:rFonts w:ascii="Century Gothic" w:hAnsi="Century Gothic"/>
        </w:rPr>
        <w:t xml:space="preserve"> de cette activité. Les </w:t>
      </w:r>
      <w:r>
        <w:rPr>
          <w:rFonts w:ascii="Century Gothic" w:hAnsi="Century Gothic"/>
          <w:b/>
        </w:rPr>
        <w:t>moyens humains</w:t>
      </w:r>
      <w:r>
        <w:rPr>
          <w:rFonts w:ascii="Century Gothic" w:hAnsi="Century Gothic"/>
        </w:rPr>
        <w:t xml:space="preserve"> impliqués sont le </w:t>
      </w:r>
      <w:r>
        <w:rPr>
          <w:rFonts w:ascii="Century Gothic" w:cs="Calibri" w:hAnsi="Century Gothic"/>
          <w:color w:val="000000"/>
        </w:rPr>
        <w:t xml:space="preserve">CVD, la Mairie de Zecco, les services de l’agriculture, de l’environnement, des ressources animales, les leaders coutumiers et religieux de </w:t>
      </w:r>
      <w:r>
        <w:rPr>
          <w:rFonts w:ascii="Century Gothic" w:cs="Calibri" w:hAnsi="Century Gothic"/>
          <w:color w:val="000000"/>
        </w:rPr>
        <w:t>Zecco</w:t>
      </w:r>
      <w:r>
        <w:rPr>
          <w:rFonts w:ascii="Century Gothic" w:cs="Calibri" w:hAnsi="Century Gothic"/>
          <w:color w:val="000000"/>
        </w:rPr>
        <w:t>, la préfecture de Zecco et</w:t>
      </w:r>
      <w:r>
        <w:rPr>
          <w:rFonts w:ascii="Century Gothic" w:hAnsi="Century Gothic"/>
        </w:rPr>
        <w:t xml:space="preserve"> le consultant. </w:t>
      </w:r>
      <w:r>
        <w:rPr>
          <w:rFonts w:ascii="Century Gothic" w:hAnsi="Century Gothic"/>
          <w:b/>
        </w:rPr>
        <w:t>Les</w:t>
      </w:r>
      <w:r>
        <w:rPr>
          <w:rFonts w:ascii="Century Gothic" w:hAnsi="Century Gothic"/>
        </w:rPr>
        <w:t xml:space="preserve"> </w:t>
      </w:r>
      <w:r>
        <w:rPr>
          <w:rFonts w:ascii="Century Gothic" w:hAnsi="Century Gothic"/>
          <w:b/>
        </w:rPr>
        <w:t xml:space="preserve">moyens financiers </w:t>
      </w:r>
      <w:r>
        <w:rPr>
          <w:rFonts w:ascii="Century Gothic" w:hAnsi="Century Gothic"/>
        </w:rPr>
        <w:t>sont</w:t>
      </w:r>
      <w:r>
        <w:rPr>
          <w:rFonts w:ascii="Century Gothic" w:hAnsi="Century Gothic"/>
          <w:b/>
        </w:rPr>
        <w:t xml:space="preserve"> </w:t>
      </w:r>
      <w:r>
        <w:rPr>
          <w:rFonts w:ascii="Century Gothic" w:hAnsi="Century Gothic"/>
        </w:rPr>
        <w:t>composés des honoraires du consultants, la pause-café et la prise charge des participants à la validation de l’atelier proviendront du projet. Ces ressources seront financées par le budget du PDIC/REDD+ de Zecco. L’organisation et la gestion de l’activité sera faite par le maire qui assure le rôle de coordination de l’activité.</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i/>
          <w:u w:val="single"/>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w:t>
      </w:r>
      <w:r>
        <w:rPr>
          <w:rFonts w:ascii="Century Gothic" w:hAnsi="Century Gothic"/>
          <w:i/>
          <w:u w:val="single"/>
        </w:rPr>
        <w:t>6</w:t>
      </w:r>
      <w:r>
        <w:rPr>
          <w:rFonts w:ascii="Century Gothic" w:hAnsi="Century Gothic"/>
          <w:i/>
          <w:u w:val="single"/>
        </w:rPr>
        <w:t xml:space="preserve">. Réaliser le bornage de la forêt </w:t>
      </w:r>
      <w:r>
        <w:rPr>
          <w:rFonts w:ascii="Century Gothic" w:hAnsi="Century Gothic"/>
          <w:i/>
          <w:u w:val="single"/>
        </w:rPr>
        <w:t xml:space="preserve">communale </w:t>
      </w:r>
      <w:r>
        <w:rPr>
          <w:rFonts w:ascii="Century Gothic" w:hAnsi="Century Gothic"/>
          <w:i/>
          <w:u w:val="single"/>
        </w:rPr>
        <w:t xml:space="preserve">de </w:t>
      </w:r>
      <w:r>
        <w:rPr>
          <w:rFonts w:ascii="Century Gothic" w:hAnsi="Century Gothic"/>
          <w:i/>
          <w:u w:val="single"/>
        </w:rPr>
        <w:t>Zecco</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b/>
          <w:i/>
        </w:rPr>
        <w:t> :</w:t>
      </w:r>
      <w:r>
        <w:rPr>
          <w:rFonts w:ascii="Century Gothic" w:hAnsi="Century Gothic"/>
        </w:rPr>
        <w:t xml:space="preserve"> sécuriser l’intégrité physique de la forêt </w:t>
      </w:r>
      <w:r>
        <w:rPr>
          <w:rFonts w:ascii="Century Gothic" w:hAnsi="Century Gothic"/>
        </w:rPr>
        <w:t xml:space="preserve">communale </w:t>
      </w:r>
      <w:r>
        <w:rPr>
          <w:rFonts w:ascii="Century Gothic" w:hAnsi="Century Gothic"/>
        </w:rPr>
        <w:t xml:space="preserve">de </w:t>
      </w:r>
      <w:r>
        <w:rPr>
          <w:rFonts w:ascii="Century Gothic" w:hAnsi="Century Gothic"/>
        </w:rPr>
        <w:t>Zecco</w:t>
      </w:r>
      <w:r>
        <w:rPr>
          <w:rFonts w:ascii="Century Gothic" w:hAnsi="Century Gothic"/>
        </w:rPr>
        <w:t xml:space="preserve">.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va reposer sur la confection et la pose de bornes de (20cm/20</w:t>
      </w:r>
      <w:r>
        <w:rPr>
          <w:rFonts w:ascii="Century Gothic" w:hAnsi="Century Gothic"/>
        </w:rPr>
        <w:t>cm</w:t>
      </w:r>
      <w:r>
        <w:rPr>
          <w:rFonts w:ascii="Century Gothic" w:hAnsi="Century Gothic"/>
        </w:rPr>
        <w:t xml:space="preserve"> de base) sur les </w:t>
      </w:r>
      <w:r>
        <w:rPr>
          <w:rFonts w:ascii="Century Gothic" w:hAnsi="Century Gothic"/>
        </w:rPr>
        <w:t>limites</w:t>
      </w:r>
      <w:r>
        <w:rPr>
          <w:rFonts w:ascii="Century Gothic" w:hAnsi="Century Gothic"/>
        </w:rPr>
        <w:t xml:space="preserve"> de la forêt. Au total de 20 bornes seront confectionnées et fixées et occuperont une superficie de 8</w:t>
      </w:r>
      <w:r>
        <w:rPr>
          <w:rFonts w:ascii="Century Gothic" w:hAnsi="Century Gothic"/>
        </w:rPr>
        <w:t xml:space="preserve"> </w:t>
      </w:r>
      <w:r>
        <w:rPr>
          <w:rFonts w:ascii="Century Gothic" w:hAnsi="Century Gothic"/>
        </w:rPr>
        <w:t>000cm² (</w:t>
      </w:r>
      <w:r>
        <w:rPr>
          <w:rFonts w:ascii="Century Gothic" w:hAnsi="Century Gothic"/>
        </w:rPr>
        <w:t>0,</w:t>
      </w:r>
      <w:r>
        <w:rPr>
          <w:rFonts w:ascii="Century Gothic" w:hAnsi="Century Gothic"/>
        </w:rPr>
        <w:t xml:space="preserve">8m²) de surface. Le projet va faire recours à un prestataire pour la réalisation de l’activité. </w:t>
      </w:r>
      <w:r>
        <w:rPr>
          <w:rFonts w:ascii="Century Gothic" w:hAnsi="Century Gothic"/>
          <w:b/>
        </w:rPr>
        <w:t>Le résultat</w:t>
      </w:r>
      <w:r>
        <w:rPr>
          <w:rFonts w:ascii="Century Gothic" w:hAnsi="Century Gothic"/>
        </w:rPr>
        <w:t xml:space="preserve"> </w:t>
      </w:r>
      <w:r>
        <w:rPr>
          <w:rFonts w:ascii="Century Gothic" w:hAnsi="Century Gothic"/>
          <w:b/>
        </w:rPr>
        <w:t>attendu</w:t>
      </w:r>
      <w:r>
        <w:rPr>
          <w:rFonts w:ascii="Century Gothic" w:hAnsi="Century Gothic"/>
        </w:rPr>
        <w:t xml:space="preserve"> est que les limites de la forêt </w:t>
      </w:r>
      <w:r>
        <w:rPr>
          <w:rFonts w:ascii="Century Gothic" w:hAnsi="Century Gothic"/>
        </w:rPr>
        <w:t xml:space="preserve">communale de Zecco </w:t>
      </w:r>
      <w:r>
        <w:rPr>
          <w:rFonts w:ascii="Century Gothic" w:hAnsi="Century Gothic"/>
        </w:rPr>
        <w:t>sont matérialisées avec des bornes</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seront constitués de l’expertise technique du prestataire et le suivi contrôle de qualité du service forestier. </w:t>
      </w:r>
      <w:r>
        <w:rPr>
          <w:rFonts w:ascii="Century Gothic" w:hAnsi="Century Gothic"/>
          <w:b/>
        </w:rPr>
        <w:t>Les moyens financiers</w:t>
      </w:r>
      <w:r>
        <w:rPr>
          <w:rFonts w:ascii="Century Gothic" w:hAnsi="Century Gothic"/>
        </w:rPr>
        <w:t xml:space="preserve"> seront frais du prestataire et de prise en charge du service forestier. Ces ressources seront financées par le budget du PDIC/REDD+ de Zecco. L’organisation et la gestion de l’activité sera faite par la </w:t>
      </w:r>
      <w:r>
        <w:rPr>
          <w:rFonts w:ascii="Century Gothic" w:hAnsi="Century Gothic"/>
        </w:rPr>
        <w:t xml:space="preserve">commune qui assure le rôle de coordination et prendra contact avec le prestataire sélectionné.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w:t>
      </w:r>
      <w:r>
        <w:rPr>
          <w:rFonts w:ascii="Century Gothic" w:hAnsi="Century Gothic"/>
          <w:i/>
          <w:u w:val="single"/>
        </w:rPr>
        <w:t>7</w:t>
      </w:r>
      <w:r>
        <w:rPr>
          <w:rFonts w:ascii="Century Gothic" w:hAnsi="Century Gothic"/>
          <w:i/>
          <w:u w:val="single"/>
        </w:rPr>
        <w:t xml:space="preserve">. </w:t>
      </w:r>
      <w:r>
        <w:rPr>
          <w:rFonts w:ascii="Century Gothic" w:cs="Arial" w:hAnsi="Century Gothic"/>
          <w:i/>
          <w:u w:val="single"/>
        </w:rPr>
        <w:t xml:space="preserve">Confectionner et fixer cinq (5) de panneaux d'information et de sensibilisation sur la forêt </w:t>
      </w:r>
      <w:r>
        <w:rPr>
          <w:rFonts w:ascii="Century Gothic" w:cs="Arial" w:hAnsi="Century Gothic"/>
          <w:i/>
          <w:u w:val="single"/>
        </w:rPr>
        <w:t>communale de Zecco</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rPr>
        <w:t xml:space="preserve"> de cette activité est de renforcer la sécurisation et la visibilité de forêt </w:t>
      </w:r>
      <w:r>
        <w:rPr>
          <w:rFonts w:ascii="Century Gothic" w:hAnsi="Century Gothic"/>
        </w:rPr>
        <w:t xml:space="preserve">communale </w:t>
      </w:r>
      <w:r>
        <w:rPr>
          <w:rFonts w:ascii="Century Gothic" w:hAnsi="Century Gothic"/>
        </w:rPr>
        <w:t xml:space="preserve">de </w:t>
      </w:r>
      <w:r>
        <w:rPr>
          <w:rFonts w:ascii="Century Gothic" w:hAnsi="Century Gothic"/>
        </w:rPr>
        <w:t>Zecco</w:t>
      </w:r>
      <w:r>
        <w:rPr>
          <w:rFonts w:ascii="Century Gothic" w:cs="Arial" w:hAnsi="Century Gothic"/>
          <w:iCs/>
        </w:rPr>
        <w:t xml:space="preserve">. Cette activité vient renforcer l’activité de </w:t>
      </w:r>
      <w:r>
        <w:rPr>
          <w:rFonts w:ascii="Century Gothic" w:hAnsi="Century Gothic"/>
          <w:iCs/>
        </w:rPr>
        <w:t xml:space="preserve"> bornage et des plantations de délimitation. </w:t>
      </w:r>
      <w:r>
        <w:rPr>
          <w:rFonts w:ascii="Century Gothic" w:hAnsi="Century Gothic"/>
          <w:b/>
          <w:bCs/>
          <w:iCs/>
        </w:rPr>
        <w:t xml:space="preserve">La méthode </w:t>
      </w:r>
      <w:r>
        <w:rPr>
          <w:rFonts w:ascii="Century Gothic" w:hAnsi="Century Gothic"/>
          <w:bCs/>
          <w:iCs/>
        </w:rPr>
        <w:t>va reposer sur la conception des messages et leur</w:t>
      </w:r>
      <w:r>
        <w:rPr>
          <w:rFonts w:ascii="Century Gothic" w:hAnsi="Century Gothic"/>
          <w:bCs/>
        </w:rPr>
        <w:t xml:space="preserve"> validation par la commune, l’identification d’un prestataire pour la confection des panneaux et enfin leur fixation qui se feront avec l’appui du CV</w:t>
      </w:r>
      <w:r>
        <w:rPr>
          <w:rFonts w:ascii="Century Gothic" w:hAnsi="Century Gothic"/>
          <w:bCs/>
        </w:rPr>
        <w:t>D</w:t>
      </w:r>
      <w:r>
        <w:rPr>
          <w:rFonts w:ascii="Century Gothic" w:hAnsi="Century Gothic"/>
          <w:bCs/>
        </w:rPr>
        <w:t xml:space="preserve"> du village</w:t>
      </w:r>
      <w:r>
        <w:rPr>
          <w:rFonts w:ascii="Century Gothic" w:hAnsi="Century Gothic"/>
        </w:rPr>
        <w:t xml:space="preserve">. </w:t>
      </w:r>
      <w:r>
        <w:rPr>
          <w:rFonts w:ascii="Century Gothic" w:hAnsi="Century Gothic"/>
          <w:b/>
        </w:rPr>
        <w:t xml:space="preserve">Le résultat attendu </w:t>
      </w:r>
      <w:r>
        <w:rPr>
          <w:rFonts w:ascii="Century Gothic" w:hAnsi="Century Gothic"/>
        </w:rPr>
        <w:t xml:space="preserve">est que la visibilité de la forêt est renforcée et les types d’utilisation et d’interdiction sont connus. </w:t>
      </w:r>
      <w:r>
        <w:rPr>
          <w:rFonts w:ascii="Century Gothic" w:hAnsi="Century Gothic"/>
          <w:b/>
        </w:rPr>
        <w:t>Les moyens matériels</w:t>
      </w:r>
      <w:r>
        <w:rPr>
          <w:rFonts w:ascii="Century Gothic" w:hAnsi="Century Gothic"/>
        </w:rPr>
        <w:t xml:space="preserve"> seront constitués de panneaux, de sable et ciment pour la fixation. Les trous de fixation seront </w:t>
      </w:r>
      <w:r>
        <w:rPr>
          <w:rFonts w:ascii="Century Gothic" w:hAnsi="Century Gothic"/>
        </w:rPr>
        <w:t xml:space="preserve">225 </w:t>
      </w:r>
      <w:r>
        <w:rPr>
          <w:rFonts w:ascii="Century Gothic" w:hAnsi="Century Gothic"/>
        </w:rPr>
        <w:t>cm²</w:t>
      </w:r>
      <w:r>
        <w:rPr>
          <w:rFonts w:ascii="Century Gothic" w:hAnsi="Century Gothic"/>
        </w:rPr>
        <w:t xml:space="preserve"> (15cm/15</w:t>
      </w:r>
      <w:r>
        <w:rPr>
          <w:rFonts w:ascii="Century Gothic" w:hAnsi="Century Gothic"/>
        </w:rPr>
        <w:t>cm</w:t>
      </w:r>
      <w:r>
        <w:rPr>
          <w:rFonts w:ascii="Century Gothic" w:hAnsi="Century Gothic"/>
        </w:rPr>
        <w:t>)</w:t>
      </w:r>
      <w:r>
        <w:rPr>
          <w:rFonts w:ascii="Century Gothic" w:hAnsi="Century Gothic"/>
        </w:rPr>
        <w:t xml:space="preserve"> par pied de panneau soit un total de </w:t>
      </w:r>
      <w:r>
        <w:rPr>
          <w:rFonts w:ascii="Century Gothic" w:hAnsi="Century Gothic"/>
        </w:rPr>
        <w:t>45</w:t>
      </w:r>
      <w:r>
        <w:rPr>
          <w:rFonts w:ascii="Century Gothic" w:hAnsi="Century Gothic"/>
        </w:rPr>
        <w:t xml:space="preserve">0cm² par panneau. Ce qui donne un total pour les cinq panneaux de </w:t>
      </w:r>
      <w:r>
        <w:rPr>
          <w:rFonts w:ascii="Century Gothic" w:hAnsi="Century Gothic"/>
        </w:rPr>
        <w:t>2</w:t>
      </w:r>
      <w:r>
        <w:rPr>
          <w:rFonts w:ascii="Century Gothic" w:hAnsi="Century Gothic"/>
        </w:rPr>
        <w:t> </w:t>
      </w:r>
      <w:r>
        <w:rPr>
          <w:rFonts w:ascii="Century Gothic" w:hAnsi="Century Gothic"/>
        </w:rPr>
        <w:t>25</w:t>
      </w:r>
      <w:r>
        <w:rPr>
          <w:rFonts w:ascii="Century Gothic" w:hAnsi="Century Gothic"/>
        </w:rPr>
        <w:t>0</w:t>
      </w:r>
      <w:r>
        <w:rPr>
          <w:rFonts w:ascii="Century Gothic" w:hAnsi="Century Gothic"/>
        </w:rPr>
        <w:t xml:space="preserve"> </w:t>
      </w:r>
      <w:r>
        <w:rPr>
          <w:rFonts w:ascii="Century Gothic" w:hAnsi="Century Gothic"/>
        </w:rPr>
        <w:t>cm² (</w:t>
      </w:r>
      <w:r>
        <w:rPr>
          <w:rFonts w:ascii="Century Gothic" w:hAnsi="Century Gothic"/>
        </w:rPr>
        <w:t xml:space="preserve">0,225 </w:t>
      </w:r>
      <w:r>
        <w:rPr>
          <w:rFonts w:ascii="Century Gothic" w:hAnsi="Century Gothic"/>
        </w:rPr>
        <w:t xml:space="preserve">m²). </w:t>
      </w:r>
      <w:r>
        <w:rPr>
          <w:rFonts w:ascii="Century Gothic" w:hAnsi="Century Gothic"/>
          <w:b/>
        </w:rPr>
        <w:t>Les</w:t>
      </w:r>
      <w:r>
        <w:rPr>
          <w:rFonts w:ascii="Century Gothic" w:hAnsi="Century Gothic"/>
        </w:rPr>
        <w:t xml:space="preserve"> </w:t>
      </w:r>
      <w:r>
        <w:rPr>
          <w:rFonts w:ascii="Century Gothic" w:hAnsi="Century Gothic"/>
          <w:b/>
        </w:rPr>
        <w:t xml:space="preserve">moyens humains </w:t>
      </w:r>
      <w:r>
        <w:rPr>
          <w:rFonts w:ascii="Century Gothic" w:hAnsi="Century Gothic"/>
        </w:rPr>
        <w:t xml:space="preserve">seront constitués de prestataire pour la confection des panneaux et de main d’œuvre locale pour la fixation. </w:t>
      </w:r>
      <w:r>
        <w:rPr>
          <w:rFonts w:ascii="Century Gothic" w:hAnsi="Century Gothic"/>
          <w:b/>
        </w:rPr>
        <w:t>Les moyens financiers</w:t>
      </w:r>
      <w:r>
        <w:rPr>
          <w:rFonts w:ascii="Century Gothic" w:hAnsi="Century Gothic"/>
        </w:rPr>
        <w:t xml:space="preserve"> seront constitués de frais de confection et de fixation. Ces ressources seront financées par le budget du PDIC/REDD+ de Zecco. L’organisation et la gestion de l’activité sera faite par la commune qui assure le rôle de coordination et prendra contact avec le prestataire sélectionné et le </w:t>
      </w:r>
      <w:r>
        <w:rPr>
          <w:rFonts w:ascii="Century Gothic" w:hAnsi="Century Gothic"/>
        </w:rPr>
        <w:t>comité de gestion de la forêt</w:t>
      </w:r>
      <w:r>
        <w:rPr>
          <w:rFonts w:ascii="Century Gothic" w:hAnsi="Century Gothic"/>
        </w:rPr>
        <w:t xml:space="preserve">.  </w:t>
      </w:r>
    </w:p>
    <w:p>
      <w:pPr>
        <w:pStyle w:val="style0"/>
        <w:tabs>
          <w:tab w:val="left" w:leader="none" w:pos="9214"/>
          <w:tab w:val="left" w:leader="none" w:pos="9639"/>
        </w:tabs>
        <w:jc w:val="both"/>
        <w:rPr>
          <w:rFonts w:ascii="Century Gothic" w:hAnsi="Century Gothic"/>
          <w:bCs/>
          <w:highlight w:val="cyan"/>
        </w:rPr>
      </w:pPr>
    </w:p>
    <w:bookmarkStart w:id="28" w:name="_Toc82049053"/>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2</w:t>
      </w:r>
      <w:r>
        <w:rPr>
          <w:rFonts w:ascii="Century Gothic" w:hAnsi="Century Gothic"/>
          <w:szCs w:val="24"/>
        </w:rPr>
        <w:t xml:space="preserve">.2.2 Activités induites d’amélioration des productivités et des revenus dans l’espace de conservation de </w:t>
      </w:r>
      <w:r>
        <w:rPr>
          <w:rFonts w:ascii="Century Gothic" w:hAnsi="Century Gothic"/>
          <w:szCs w:val="24"/>
        </w:rPr>
        <w:t>de la forêt communale de Zecco</w:t>
      </w:r>
      <w:bookmarkEnd w:id="28"/>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outlineLvl w:val="3"/>
        <w:rPr>
          <w:rFonts w:ascii="Century Gothic" w:hAnsi="Century Gothic"/>
          <w:i/>
          <w:iCs/>
          <w:u w:val="single"/>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.2.2.1</w:t>
      </w:r>
      <w:r>
        <w:rPr>
          <w:rFonts w:ascii="Century Gothic" w:hAnsi="Century Gothic"/>
          <w:bCs/>
          <w:i/>
          <w:u w:val="single"/>
        </w:rPr>
        <w:t xml:space="preserve">. Appuyer 100 producteurs à la production et à l’utilisation du compost dans l’espace de conservation de </w:t>
      </w:r>
      <w:r>
        <w:rPr>
          <w:rFonts w:ascii="Century Gothic" w:hAnsi="Century Gothic"/>
          <w:bCs/>
          <w:i/>
          <w:u w:val="single"/>
        </w:rPr>
        <w:t>Zecco</w:t>
      </w:r>
      <w:r>
        <w:rPr>
          <w:rFonts w:ascii="Century Gothic" w:hAnsi="Century Gothic"/>
          <w:bCs/>
          <w:i/>
          <w:u w:val="single"/>
        </w:rPr>
        <w:t xml:space="preserve"> </w:t>
      </w:r>
      <w:r>
        <w:rPr>
          <w:rFonts w:ascii="Century Gothic" w:hAnsi="Century Gothic"/>
          <w:bCs/>
          <w:i/>
          <w:u w:val="single"/>
        </w:rPr>
        <w:t>(villages de Baré et Guian)</w:t>
      </w:r>
      <w:r>
        <w:rPr>
          <w:rFonts w:ascii="Century Gothic" w:hAnsi="Century Gothic"/>
          <w:i/>
          <w:u w:val="single"/>
        </w:rPr>
        <w:t>.</w:t>
      </w:r>
    </w:p>
    <w:p>
      <w:pPr>
        <w:pStyle w:val="style0"/>
        <w:tabs>
          <w:tab w:val="left" w:leader="none" w:pos="9214"/>
          <w:tab w:val="left" w:leader="none" w:pos="9639"/>
        </w:tabs>
        <w:jc w:val="both"/>
        <w:outlineLvl w:val="3"/>
        <w:rPr>
          <w:rFonts w:ascii="Century Gothic" w:hAnsi="Century Gothic"/>
          <w:i/>
          <w:iCs/>
          <w:u w:val="single"/>
        </w:rPr>
      </w:pPr>
    </w:p>
    <w:p>
      <w:pPr>
        <w:pStyle w:val="style0"/>
        <w:tabs>
          <w:tab w:val="left" w:leader="none" w:pos="9214"/>
          <w:tab w:val="left" w:leader="none" w:pos="9639"/>
        </w:tabs>
        <w:jc w:val="both"/>
        <w:outlineLvl w:val="3"/>
        <w:rPr>
          <w:rFonts w:ascii="Century Gothic" w:hAnsi="Century Gothic"/>
          <w:bCs/>
        </w:rPr>
      </w:pPr>
      <w:r>
        <w:rPr>
          <w:rFonts w:ascii="Century Gothic" w:hAnsi="Century Gothic"/>
          <w:b/>
        </w:rPr>
        <w:t>L’objectif</w:t>
      </w:r>
      <w:r>
        <w:rPr>
          <w:rFonts w:ascii="Century Gothic" w:hAnsi="Century Gothic"/>
        </w:rPr>
        <w:t xml:space="preserve"> de cette activité est d’appuyer les producteurs à réaliser des fosses fumières pour produire de la fumure organique et fertiliser les sols en vue d’accroître les rendements agricoles. L’accroissement des rendements agricoles permettra d’atténuer le phénomène des nouvelles défriches afin de préserver les espaces de conservation </w:t>
      </w:r>
      <w:r>
        <w:rPr>
          <w:rFonts w:ascii="Century Gothic" w:hAnsi="Century Gothic"/>
          <w:b/>
        </w:rPr>
        <w:t xml:space="preserve">La méthode </w:t>
      </w:r>
      <w:r>
        <w:rPr>
          <w:rFonts w:ascii="Century Gothic" w:hAnsi="Century Gothic"/>
        </w:rPr>
        <w:t xml:space="preserve">consistera à doter les bénéficiaires d’un kit de matériels (pioche, pelle, râteaux, fourche et de Burkina phosphate pour la préparation du compost). Le bénéficiaire prendra en charge la collecte des agrégats (paille, résidus agricoles, fumier, etc.). L’activité sera réalisée avec l’appui technique chef ZATA de </w:t>
      </w:r>
      <w:r>
        <w:rPr>
          <w:rFonts w:ascii="Century Gothic" w:hAnsi="Century Gothic"/>
        </w:rPr>
        <w:t xml:space="preserve">Zecco </w:t>
      </w:r>
      <w:r>
        <w:rPr>
          <w:rFonts w:ascii="Century Gothic" w:hAnsi="Century Gothic"/>
        </w:rPr>
        <w:t xml:space="preserve">sur la base d’un protocole précisant les modalités de son intervention. Il participera avec les producteurs à l’identification des bénéficiaires qui se fera sur la base du volontariat. Un rapport de suivis périodiques des réalisations permettra de suivre la mise en œuvre de l’activité. </w:t>
      </w:r>
      <w:r>
        <w:rPr>
          <w:rFonts w:ascii="Century Gothic" w:hAnsi="Century Gothic"/>
          <w:b/>
        </w:rPr>
        <w:t>Le résultat attendu</w:t>
      </w:r>
      <w:r>
        <w:rPr>
          <w:rFonts w:ascii="Century Gothic" w:hAnsi="Century Gothic"/>
        </w:rPr>
        <w:t xml:space="preserve"> de l’activité est qu’au moins cent (100) tas de fumure organique sont produits par an pendant trois années. Ce qui donne un total de 300 tas pour une superficie emblavées d’environ 37.5 hectares (8 tas pour 1 hectare)</w:t>
      </w:r>
      <w:r>
        <w:rPr>
          <w:rFonts w:ascii="Century Gothic" w:hAnsi="Century Gothic"/>
        </w:rPr>
        <w:t xml:space="preserve">. </w:t>
      </w:r>
      <w:r>
        <w:rPr>
          <w:rFonts w:ascii="Century Gothic" w:hAnsi="Century Gothic"/>
          <w:b/>
        </w:rPr>
        <w:t>Les moyens physiques</w:t>
      </w:r>
      <w:r>
        <w:rPr>
          <w:rFonts w:ascii="Century Gothic" w:hAnsi="Century Gothic"/>
        </w:rPr>
        <w:t xml:space="preserve"> se résumeront en matériels (pelles, pioche) et </w:t>
      </w:r>
      <w:r>
        <w:rPr>
          <w:rFonts w:ascii="Century Gothic" w:hAnsi="Century Gothic"/>
          <w:b/>
        </w:rPr>
        <w:t>moyens humains</w:t>
      </w:r>
      <w:r>
        <w:rPr>
          <w:rFonts w:ascii="Century Gothic" w:hAnsi="Century Gothic"/>
        </w:rPr>
        <w:t xml:space="preserve"> constitués de l’expertise du service de l’agriculture. </w:t>
      </w:r>
      <w:r>
        <w:rPr>
          <w:rFonts w:ascii="Century Gothic" w:hAnsi="Century Gothic"/>
          <w:b/>
        </w:rPr>
        <w:t>Les</w:t>
      </w:r>
      <w:r>
        <w:rPr>
          <w:rFonts w:ascii="Century Gothic" w:hAnsi="Century Gothic"/>
        </w:rPr>
        <w:t xml:space="preserve"> </w:t>
      </w:r>
      <w:r>
        <w:rPr>
          <w:rFonts w:ascii="Century Gothic" w:hAnsi="Century Gothic"/>
          <w:b/>
        </w:rPr>
        <w:t xml:space="preserve">moyens financiers sont </w:t>
      </w:r>
      <w:r>
        <w:rPr>
          <w:rFonts w:ascii="Century Gothic" w:hAnsi="Century Gothic"/>
        </w:rPr>
        <w:t xml:space="preserve">composés des honoraires du suivi. Ces ressources seront financées par le budget du PDIC/REDD+ de Zecco. L’organisation et la gestion de l’activité sera faite par le maire qui assure le rôle de coordination de l’activité en collaboration avec le service de l’agriculture.  </w:t>
      </w:r>
    </w:p>
    <w:p>
      <w:pPr>
        <w:pStyle w:val="style0"/>
        <w:tabs>
          <w:tab w:val="left" w:leader="none" w:pos="9214"/>
          <w:tab w:val="left" w:leader="none" w:pos="9639"/>
        </w:tabs>
        <w:jc w:val="both"/>
        <w:outlineLvl w:val="3"/>
        <w:rPr>
          <w:rFonts w:ascii="Century Gothic" w:hAnsi="Century Gothic"/>
          <w:bCs/>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rPr>
      </w:pPr>
    </w:p>
    <w:p>
      <w:pPr>
        <w:pStyle w:val="style0"/>
        <w:tabs>
          <w:tab w:val="left" w:leader="none" w:pos="1701"/>
          <w:tab w:val="left" w:leader="none" w:pos="9214"/>
          <w:tab w:val="left" w:leader="none" w:pos="9639"/>
        </w:tabs>
        <w:suppressAutoHyphens/>
        <w:jc w:val="both"/>
        <w:rPr>
          <w:rFonts w:ascii="Century Gothic" w:hAnsi="Century Gothic"/>
          <w:i/>
          <w:u w:val="single"/>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1.2.2.2</w:t>
      </w:r>
      <w:r>
        <w:rPr>
          <w:rFonts w:ascii="Century Gothic" w:hAnsi="Century Gothic"/>
          <w:bCs/>
          <w:i/>
          <w:u w:val="single"/>
        </w:rPr>
        <w:t xml:space="preserve">. </w:t>
      </w:r>
      <w:r>
        <w:rPr>
          <w:rFonts w:ascii="Century Gothic" w:hAnsi="Century Gothic"/>
          <w:i/>
          <w:iCs/>
          <w:u w:val="single"/>
        </w:rPr>
        <w:t xml:space="preserve">Appuyer 100 producteurs la fauche et conservation du fourrage naturel dans les villages riverains de l‘espace de conservation </w:t>
      </w:r>
      <w:r>
        <w:rPr>
          <w:rFonts w:ascii="Century Gothic" w:hAnsi="Century Gothic"/>
          <w:i/>
          <w:iCs/>
          <w:u w:val="single"/>
        </w:rPr>
        <w:t>Zecco</w:t>
      </w:r>
      <w:r>
        <w:rPr>
          <w:rFonts w:ascii="Century Gothic" w:hAnsi="Century Gothic"/>
          <w:i/>
          <w:iCs/>
          <w:u w:val="single"/>
        </w:rPr>
        <w:t xml:space="preserve"> </w:t>
      </w:r>
      <w:r>
        <w:rPr>
          <w:rFonts w:ascii="Century Gothic" w:hAnsi="Century Gothic"/>
          <w:bCs/>
          <w:i/>
          <w:u w:val="single"/>
        </w:rPr>
        <w:t>(villages de Baré et Guian)</w:t>
      </w:r>
    </w:p>
    <w:p>
      <w:pPr>
        <w:pStyle w:val="style0"/>
        <w:tabs>
          <w:tab w:val="left" w:leader="none" w:pos="1701"/>
          <w:tab w:val="left" w:leader="none" w:pos="9214"/>
          <w:tab w:val="left" w:leader="none" w:pos="9639"/>
        </w:tabs>
        <w:suppressAutoHyphens/>
        <w:jc w:val="both"/>
        <w:rPr>
          <w:rFonts w:ascii="Century Gothic" w:hAnsi="Century Gothic"/>
          <w:iCs/>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L’objectif</w:t>
      </w:r>
      <w:r>
        <w:rPr>
          <w:rFonts w:ascii="Century Gothic" w:hAnsi="Century Gothic"/>
        </w:rPr>
        <w:t xml:space="preserve"> de cette activité est de doter les producteurs de kits de matériel de fauche et de conservation du fourrage naturel. Elle vise d’une part une augmentation de la production du fourrage et de sa conservation dans de bonnes conditions et d’autre part son utilisation en saison sèche comme aliment à bétail dans une optique de conservation des ressources forestières et participe à la résolution de la difficulté relative à la f</w:t>
      </w:r>
      <w:r>
        <w:rPr>
          <w:rFonts w:ascii="Century Gothic" w:cs="Tahoma" w:hAnsi="Century Gothic"/>
        </w:rPr>
        <w:t>aible disponibilité de l’offre fourragère et dans la commune en saison sèche</w:t>
      </w:r>
      <w:r>
        <w:rPr>
          <w:rFonts w:ascii="Century Gothic" w:hAnsi="Century Gothic"/>
        </w:rPr>
        <w:t xml:space="preserve">. </w:t>
      </w:r>
      <w:r>
        <w:rPr>
          <w:rFonts w:ascii="Century Gothic" w:hAnsi="Century Gothic"/>
          <w:b/>
          <w:bCs/>
        </w:rPr>
        <w:t>La méthode</w:t>
      </w:r>
      <w:r>
        <w:rPr>
          <w:rFonts w:ascii="Century Gothic" w:hAnsi="Century Gothic"/>
          <w:bCs/>
        </w:rPr>
        <w:t xml:space="preserve"> consistera à la dotation des cent (100) producteurs formés en kit de fauche (</w:t>
      </w:r>
      <w:r>
        <w:rPr>
          <w:rFonts w:ascii="Century Gothic" w:hAnsi="Century Gothic"/>
        </w:rPr>
        <w:t xml:space="preserve">botteleuse, 01 faucilles, 01 paire de botte) et de conservation (fenil de 10 tôles en brique (l’apport du projet portera uniquement sur les tôles, chevrons et le transport). </w:t>
      </w:r>
      <w:r>
        <w:rPr>
          <w:rFonts w:ascii="Century Gothic" w:hAnsi="Century Gothic"/>
          <w:b/>
        </w:rPr>
        <w:t>Le résultat attendu</w:t>
      </w:r>
      <w:r>
        <w:rPr>
          <w:rFonts w:ascii="Century Gothic" w:hAnsi="Century Gothic"/>
        </w:rPr>
        <w:t xml:space="preserve"> de l’activité est que les capacités de la commune en matière de fauche et de conservation du fourrage sont renforcées. </w:t>
      </w:r>
      <w:r>
        <w:rPr>
          <w:rFonts w:ascii="Century Gothic" w:hAnsi="Century Gothic"/>
          <w:b/>
        </w:rPr>
        <w:t>Les moyens matériels</w:t>
      </w:r>
      <w:r>
        <w:rPr>
          <w:rFonts w:ascii="Century Gothic" w:hAnsi="Century Gothic"/>
        </w:rPr>
        <w:t xml:space="preserve"> se résumeront à la l’appui en tôle et en kits de fauche. Les </w:t>
      </w:r>
      <w:r>
        <w:rPr>
          <w:rFonts w:ascii="Century Gothic" w:hAnsi="Century Gothic"/>
          <w:b/>
        </w:rPr>
        <w:t>moyens humains</w:t>
      </w:r>
      <w:r>
        <w:rPr>
          <w:rFonts w:ascii="Century Gothic" w:hAnsi="Century Gothic"/>
        </w:rPr>
        <w:t xml:space="preserve"> constitués de l’expertise de l’agent des ressources animales pour le suivi conseil.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Zecco. La réalisation et l’entretien des tas de compost constitueront la contribution en nature des bénéficiaires. L’organisation et la gestion de l’activité sera faite par le maire qui assure le rôle de coordination de l’activité en collaboration avec le service des ressources animales de la commune de </w:t>
      </w:r>
      <w:r>
        <w:rPr>
          <w:rFonts w:ascii="Century Gothic" w:hAnsi="Century Gothic"/>
        </w:rPr>
        <w:t>Zecco</w:t>
      </w:r>
      <w:r>
        <w:rPr>
          <w:rFonts w:ascii="Century Gothic" w:hAnsi="Century Gothic"/>
        </w:rPr>
        <w:t>.</w:t>
      </w:r>
    </w:p>
    <w:p>
      <w:pPr>
        <w:pStyle w:val="style0"/>
        <w:tabs>
          <w:tab w:val="left" w:leader="none" w:pos="9214"/>
          <w:tab w:val="left" w:leader="none" w:pos="9639"/>
        </w:tabs>
        <w:jc w:val="both"/>
        <w:rPr>
          <w:rFonts w:ascii="Century Gothic" w:hAnsi="Century Gothic"/>
          <w:bCs/>
          <w:i/>
          <w:u w:val="single"/>
        </w:rPr>
      </w:pPr>
    </w:p>
    <w:p>
      <w:pPr>
        <w:pStyle w:val="style0"/>
        <w:tabs>
          <w:tab w:val="left" w:leader="none" w:pos="1701"/>
          <w:tab w:val="left" w:leader="none" w:pos="9214"/>
          <w:tab w:val="left" w:leader="none" w:pos="9639"/>
        </w:tabs>
        <w:suppressAutoHyphens/>
        <w:jc w:val="both"/>
        <w:rPr>
          <w:rFonts w:ascii="Century Gothic" w:hAnsi="Century Gothic"/>
          <w:i/>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.2.2.3</w:t>
      </w:r>
      <w:r>
        <w:rPr>
          <w:rFonts w:ascii="Century Gothic" w:hAnsi="Century Gothic"/>
          <w:bCs/>
          <w:i/>
          <w:u w:val="single"/>
        </w:rPr>
        <w:t>. Appuyer l’a</w:t>
      </w:r>
      <w:r>
        <w:rPr>
          <w:rFonts w:ascii="Century Gothic" w:hAnsi="Century Gothic"/>
          <w:bCs/>
          <w:i/>
          <w:u w:val="single"/>
        </w:rPr>
        <w:t>v</w:t>
      </w:r>
      <w:r>
        <w:rPr>
          <w:rFonts w:ascii="Century Gothic" w:hAnsi="Century Gothic"/>
          <w:bCs/>
          <w:i/>
          <w:u w:val="single"/>
        </w:rPr>
        <w:t>iculture</w:t>
      </w:r>
      <w:r>
        <w:rPr>
          <w:rFonts w:ascii="Century Gothic" w:hAnsi="Century Gothic"/>
          <w:bCs/>
          <w:i/>
          <w:u w:val="single"/>
        </w:rPr>
        <w:t xml:space="preserve"> villageoise</w:t>
      </w:r>
      <w:r>
        <w:rPr>
          <w:rFonts w:ascii="Century Gothic" w:hAnsi="Century Gothic"/>
          <w:bCs/>
          <w:i/>
          <w:u w:val="single"/>
        </w:rPr>
        <w:t xml:space="preserve"> </w:t>
      </w:r>
      <w:r>
        <w:rPr>
          <w:rFonts w:ascii="Century Gothic" w:hAnsi="Century Gothic"/>
          <w:i/>
          <w:u w:val="single"/>
        </w:rPr>
        <w:t xml:space="preserve">au profit </w:t>
      </w:r>
      <w:r>
        <w:rPr>
          <w:rFonts w:ascii="Century Gothic" w:hAnsi="Century Gothic"/>
          <w:i/>
          <w:u w:val="single"/>
        </w:rPr>
        <w:t xml:space="preserve">de la coopérative Baré sakia de Baré </w:t>
      </w:r>
    </w:p>
    <w:p>
      <w:pPr>
        <w:pStyle w:val="style0"/>
        <w:tabs>
          <w:tab w:val="left" w:leader="none" w:pos="1701"/>
          <w:tab w:val="left" w:leader="none" w:pos="9214"/>
          <w:tab w:val="left" w:leader="none" w:pos="9639"/>
        </w:tabs>
        <w:suppressAutoHyphens/>
        <w:jc w:val="both"/>
        <w:rPr>
          <w:rFonts w:ascii="Century Gothic" w:hAnsi="Century Gothic"/>
          <w:i/>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w:t>
      </w:r>
      <w:r>
        <w:rPr>
          <w:rFonts w:ascii="Century Gothic" w:hAnsi="Century Gothic"/>
          <w:b/>
          <w:bCs/>
        </w:rPr>
        <w:t>bjectif </w:t>
      </w:r>
      <w:r>
        <w:rPr>
          <w:rFonts w:ascii="Century Gothic" w:hAnsi="Century Gothic"/>
          <w:bCs/>
        </w:rPr>
        <w:t xml:space="preserve">est </w:t>
      </w:r>
      <w:r>
        <w:rPr>
          <w:rFonts w:ascii="Century Gothic" w:hAnsi="Century Gothic"/>
          <w:bCs/>
        </w:rPr>
        <w:t>de permettre aux femmes de</w:t>
      </w:r>
      <w:r>
        <w:rPr>
          <w:rFonts w:ascii="Century Gothic" w:hAnsi="Century Gothic"/>
          <w:bCs/>
        </w:rPr>
        <w:t xml:space="preserve"> </w:t>
      </w:r>
      <w:r>
        <w:rPr>
          <w:rFonts w:ascii="Century Gothic" w:hAnsi="Century Gothic"/>
          <w:bCs/>
        </w:rPr>
        <w:t>générer des revenus par l’élevage de poules</w:t>
      </w:r>
      <w:r>
        <w:rPr>
          <w:rFonts w:ascii="Century Gothic" w:hAnsi="Century Gothic"/>
          <w:bCs/>
        </w:rPr>
        <w:t>.</w:t>
      </w:r>
      <w:r>
        <w:rPr>
          <w:rFonts w:ascii="Century Gothic" w:hAnsi="Century Gothic"/>
          <w:bCs/>
        </w:rPr>
        <w:t xml:space="preserve"> </w:t>
      </w:r>
      <w:r>
        <w:rPr>
          <w:rFonts w:ascii="Century Gothic" w:hAnsi="Century Gothic"/>
          <w:b/>
          <w:bCs/>
        </w:rPr>
        <w:t>La méthode</w:t>
      </w:r>
      <w:r>
        <w:rPr>
          <w:rFonts w:ascii="Century Gothic" w:hAnsi="Century Gothic"/>
          <w:bCs/>
        </w:rPr>
        <w:t> </w:t>
      </w:r>
      <w:r>
        <w:rPr>
          <w:rFonts w:ascii="Century Gothic" w:hAnsi="Century Gothic"/>
          <w:bCs/>
        </w:rPr>
        <w:t>va reposer sur la dotation de</w:t>
      </w:r>
      <w:r>
        <w:rPr>
          <w:rFonts w:ascii="Century Gothic" w:hAnsi="Century Gothic"/>
          <w:bCs/>
        </w:rPr>
        <w:t xml:space="preserve"> chaque </w:t>
      </w:r>
      <w:r>
        <w:rPr>
          <w:rFonts w:ascii="Century Gothic" w:hAnsi="Century Gothic"/>
          <w:bCs/>
        </w:rPr>
        <w:t xml:space="preserve">femme d’un mini poulailler et d’un kit </w:t>
      </w:r>
      <w:r>
        <w:rPr>
          <w:rFonts w:ascii="Century Gothic" w:hAnsi="Century Gothic"/>
          <w:bCs/>
        </w:rPr>
        <w:t>(</w:t>
      </w:r>
      <w:r>
        <w:rPr>
          <w:rFonts w:ascii="Century Gothic" w:hAnsi="Century Gothic"/>
          <w:bCs/>
        </w:rPr>
        <w:t>2 coq</w:t>
      </w:r>
      <w:r>
        <w:rPr>
          <w:rFonts w:ascii="Century Gothic" w:hAnsi="Century Gothic"/>
          <w:bCs/>
        </w:rPr>
        <w:t>s</w:t>
      </w:r>
      <w:r>
        <w:rPr>
          <w:rFonts w:ascii="Century Gothic" w:hAnsi="Century Gothic"/>
          <w:bCs/>
        </w:rPr>
        <w:t xml:space="preserve"> et 20 poules</w:t>
      </w:r>
      <w:r>
        <w:rPr>
          <w:rFonts w:ascii="Century Gothic" w:hAnsi="Century Gothic"/>
          <w:bCs/>
        </w:rPr>
        <w:t>, abreuvoir, mangeoire)</w:t>
      </w:r>
      <w:r>
        <w:rPr>
          <w:rFonts w:ascii="Century Gothic" w:hAnsi="Century Gothic"/>
          <w:bCs/>
        </w:rPr>
        <w:t xml:space="preserve">. Cette activité sera précédée d’une formation des femmes sur les techniques d’élevage. </w:t>
      </w:r>
      <w:r>
        <w:rPr>
          <w:rFonts w:ascii="Century Gothic" w:hAnsi="Century Gothic"/>
          <w:bCs/>
        </w:rPr>
        <w:t xml:space="preserve">Le service des ressources animales assurera le suivi sanitaire au niveau de chaque femme. </w:t>
      </w:r>
      <w:r>
        <w:rPr>
          <w:rFonts w:ascii="Century Gothic" w:hAnsi="Century Gothic"/>
          <w:b/>
          <w:bCs/>
        </w:rPr>
        <w:t>Le résultat</w:t>
      </w:r>
      <w:r>
        <w:rPr>
          <w:rFonts w:ascii="Century Gothic" w:hAnsi="Century Gothic"/>
          <w:b/>
          <w:bCs/>
        </w:rPr>
        <w:t xml:space="preserve"> attendu </w:t>
      </w:r>
      <w:r>
        <w:rPr>
          <w:rFonts w:ascii="Century Gothic" w:hAnsi="Century Gothic"/>
          <w:bCs/>
        </w:rPr>
        <w:t>est</w:t>
      </w:r>
      <w:r>
        <w:rPr>
          <w:rFonts w:ascii="Century Gothic" w:hAnsi="Century Gothic"/>
          <w:bCs/>
        </w:rPr>
        <w:t xml:space="preserve"> que les </w:t>
      </w:r>
      <w:r>
        <w:rPr>
          <w:rFonts w:ascii="Century Gothic" w:hAnsi="Century Gothic"/>
          <w:bCs/>
        </w:rPr>
        <w:t>bénéficiaires renforcent leur opportunité de génération de revenus par la commercialisation des poulets de qualité</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matériels </w:t>
      </w:r>
      <w:r>
        <w:rPr>
          <w:rFonts w:ascii="Century Gothic" w:hAnsi="Century Gothic"/>
        </w:rPr>
        <w:t xml:space="preserve">kit d’élevage. </w:t>
      </w:r>
      <w:r>
        <w:rPr>
          <w:rFonts w:ascii="Century Gothic" w:hAnsi="Century Gothic"/>
          <w:b/>
        </w:rPr>
        <w:t>Les</w:t>
      </w:r>
      <w:r>
        <w:rPr>
          <w:rFonts w:ascii="Century Gothic" w:hAnsi="Century Gothic"/>
          <w:b/>
        </w:rPr>
        <w:t xml:space="preserve"> moyens humains</w:t>
      </w:r>
      <w:r>
        <w:rPr>
          <w:rFonts w:ascii="Century Gothic" w:hAnsi="Century Gothic"/>
        </w:rPr>
        <w:t xml:space="preserve"> </w:t>
      </w:r>
      <w:r>
        <w:rPr>
          <w:rFonts w:ascii="Century Gothic" w:hAnsi="Century Gothic"/>
        </w:rPr>
        <w:t xml:space="preserve">sont </w:t>
      </w:r>
      <w:r>
        <w:rPr>
          <w:rFonts w:ascii="Century Gothic" w:hAnsi="Century Gothic"/>
        </w:rPr>
        <w:t xml:space="preserve">constitués de l’expertise </w:t>
      </w:r>
      <w:r>
        <w:rPr>
          <w:rFonts w:ascii="Century Gothic" w:hAnsi="Century Gothic"/>
        </w:rPr>
        <w:t xml:space="preserve">d’un spécialiste en </w:t>
      </w:r>
      <w:r>
        <w:rPr>
          <w:rFonts w:ascii="Century Gothic" w:hAnsi="Century Gothic"/>
        </w:rPr>
        <w:t>élevage</w:t>
      </w:r>
      <w:r>
        <w:rPr>
          <w:rFonts w:ascii="Century Gothic" w:hAnsi="Century Gothic"/>
        </w:rPr>
        <w:t xml:space="preserve"> pour le suivi conseil</w:t>
      </w:r>
      <w:r>
        <w:rPr>
          <w:rFonts w:ascii="Century Gothic" w:hAnsi="Century Gothic"/>
        </w:rPr>
        <w:t xml:space="preserve"> aux </w:t>
      </w:r>
      <w:r>
        <w:rPr>
          <w:rFonts w:ascii="Century Gothic" w:hAnsi="Century Gothic"/>
        </w:rPr>
        <w:t>femme</w:t>
      </w:r>
      <w:r>
        <w:rPr>
          <w:rFonts w:ascii="Century Gothic" w:hAnsi="Century Gothic"/>
        </w:rPr>
        <w:t>s</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Zecco. L’organisation et la gestion de l’activité sera faite par le maire qui assure le rôle de coordination de l’activité en collaboration avec </w:t>
      </w:r>
      <w:r>
        <w:rPr>
          <w:rFonts w:ascii="Century Gothic" w:hAnsi="Century Gothic"/>
        </w:rPr>
        <w:t>la coopérative la coopérative Baré sakia et le service de ressources animales de la commune.</w:t>
      </w:r>
    </w:p>
    <w:p>
      <w:pPr>
        <w:pStyle w:val="style0"/>
        <w:spacing w:after="160" w:lineRule="auto" w:line="259"/>
        <w:rPr>
          <w:rFonts w:ascii="Century Gothic" w:hAnsi="Century Gothic"/>
          <w:b/>
        </w:rPr>
      </w:pPr>
      <w:r>
        <w:rPr>
          <w:rFonts w:ascii="Century Gothic" w:hAnsi="Century Gothic"/>
          <w:b/>
        </w:rPr>
        <w:br w:type="page"/>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bCs/>
        </w:rPr>
      </w:pPr>
      <w:r>
        <w:rPr>
          <w:rFonts w:ascii="Century Gothic" w:hAnsi="Century Gothic"/>
          <w:b/>
          <w:i/>
        </w:rPr>
        <w:t>4.</w:t>
      </w:r>
      <w:r>
        <w:rPr>
          <w:rFonts w:ascii="Century Gothic" w:hAnsi="Century Gothic"/>
          <w:b/>
          <w:i/>
        </w:rPr>
        <w:t>2</w:t>
      </w:r>
      <w:r>
        <w:rPr>
          <w:rFonts w:ascii="Century Gothic" w:hAnsi="Century Gothic"/>
          <w:b/>
          <w:i/>
        </w:rPr>
        <w:t>.2.3</w:t>
      </w:r>
      <w:r>
        <w:rPr>
          <w:rFonts w:ascii="Century Gothic" w:hAnsi="Century Gothic"/>
          <w:b/>
          <w:bCs/>
        </w:rPr>
        <w:t xml:space="preserve">. Activités de renforcement des capacités d’adaptation aux activités et responsabilités </w:t>
      </w:r>
      <w:r>
        <w:rPr>
          <w:rFonts w:ascii="Century Gothic" w:hAnsi="Century Gothic"/>
          <w:b/>
          <w:i/>
        </w:rPr>
        <w:t xml:space="preserve">dans l’espace de conservation de </w:t>
      </w:r>
      <w:r>
        <w:rPr>
          <w:rFonts w:ascii="Century Gothic" w:hAnsi="Century Gothic"/>
          <w:b/>
          <w:i/>
        </w:rPr>
        <w:t>l’espace de conservation de Zecco</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i/>
          <w:u w:val="single"/>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.2.3.1</w:t>
      </w:r>
      <w:r>
        <w:rPr>
          <w:rFonts w:ascii="Century Gothic" w:hAnsi="Century Gothic"/>
          <w:bCs/>
          <w:u w:val="single"/>
        </w:rPr>
        <w:t xml:space="preserve">. </w:t>
      </w:r>
      <w:r>
        <w:rPr>
          <w:rFonts w:ascii="Century Gothic" w:hAnsi="Century Gothic"/>
          <w:i/>
          <w:u w:val="single"/>
        </w:rPr>
        <w:t>Former 200 producteurs en technique de plantation et entretien des espèces végétales</w:t>
      </w:r>
      <w:r>
        <w:rPr>
          <w:rFonts w:ascii="Century Gothic" w:hAnsi="Century Gothic"/>
          <w:bCs/>
          <w:i/>
          <w:u w:val="single"/>
        </w:rPr>
        <w:t xml:space="preserve"> dans l’espace de conservation </w:t>
      </w:r>
      <w:r>
        <w:rPr>
          <w:rFonts w:ascii="Century Gothic" w:hAnsi="Century Gothic"/>
          <w:bCs/>
          <w:i/>
          <w:u w:val="single"/>
        </w:rPr>
        <w:t>Zecco</w:t>
      </w:r>
      <w:r>
        <w:rPr>
          <w:rFonts w:ascii="Century Gothic" w:hAnsi="Century Gothic"/>
          <w:bCs/>
          <w:i/>
          <w:u w:val="single"/>
        </w:rPr>
        <w:t xml:space="preserve"> </w:t>
      </w:r>
      <w:r>
        <w:rPr>
          <w:rFonts w:ascii="Century Gothic" w:hAnsi="Century Gothic"/>
          <w:bCs/>
          <w:i/>
          <w:u w:val="single"/>
        </w:rPr>
        <w:t>(village</w:t>
      </w:r>
      <w:r>
        <w:rPr>
          <w:rFonts w:ascii="Century Gothic" w:hAnsi="Century Gothic"/>
          <w:bCs/>
          <w:i/>
          <w:u w:val="single"/>
        </w:rPr>
        <w:t>s</w:t>
      </w:r>
      <w:r>
        <w:rPr>
          <w:rFonts w:ascii="Century Gothic" w:hAnsi="Century Gothic"/>
          <w:bCs/>
          <w:i/>
          <w:u w:val="single"/>
        </w:rPr>
        <w:t xml:space="preserve"> de Baré et Guian)</w:t>
      </w:r>
      <w:r>
        <w:rPr>
          <w:rFonts w:ascii="Century Gothic" w:hAnsi="Century Gothic"/>
          <w:i/>
          <w:u w:val="single"/>
        </w:rPr>
        <w:t>.</w:t>
      </w:r>
    </w:p>
    <w:p>
      <w:pPr>
        <w:pStyle w:val="style0"/>
        <w:tabs>
          <w:tab w:val="left" w:leader="none" w:pos="9214"/>
          <w:tab w:val="left" w:leader="none" w:pos="9639"/>
        </w:tabs>
        <w:jc w:val="both"/>
        <w:rPr>
          <w:rFonts w:ascii="Century Gothic" w:hAnsi="Century Gothic"/>
          <w:u w:val="single"/>
        </w:rPr>
      </w:pPr>
    </w:p>
    <w:p>
      <w:pPr>
        <w:pStyle w:val="style0"/>
        <w:tabs>
          <w:tab w:val="left" w:leader="none" w:pos="9214"/>
          <w:tab w:val="left" w:leader="none" w:pos="9639"/>
        </w:tabs>
        <w:jc w:val="both"/>
        <w:rPr>
          <w:rFonts w:ascii="Century Gothic" w:cs="Arial" w:hAnsi="Century Gothic"/>
        </w:rPr>
      </w:pPr>
      <w:r>
        <w:rPr>
          <w:rFonts w:ascii="Century Gothic" w:hAnsi="Century Gothic"/>
          <w:b/>
        </w:rPr>
        <w:t xml:space="preserve">L’objectif </w:t>
      </w:r>
      <w:r>
        <w:rPr>
          <w:rFonts w:ascii="Century Gothic" w:hAnsi="Century Gothic"/>
        </w:rPr>
        <w:t xml:space="preserve">de cette activité est de contribuer au renforcement des compétences techniques en matière de plantation et d’entretien de plants.  Elle vise d’une part à promouvoir les bonnes pratiques de gestion durable des ressources forestières et d’autre part à consolider le niveau d’engagement des communautés sur l’importance de la conservation des ressources naturelles.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 xml:space="preserve">est que deux-cent (200) personnes ont renforcé leurs compétences dans la plantation et l’entretien des espèces végétales. </w:t>
      </w:r>
      <w:r>
        <w:rPr>
          <w:rFonts w:ascii="Century Gothic" w:hAnsi="Century Gothic"/>
          <w:b/>
        </w:rPr>
        <w:t>Les moyens humains</w:t>
      </w:r>
      <w:r>
        <w:rPr>
          <w:rFonts w:ascii="Century Gothic" w:hAnsi="Century Gothic"/>
        </w:rPr>
        <w:t xml:space="preserve"> sont constitués de l’expertise technique service de l’environnement. </w:t>
      </w:r>
      <w:r>
        <w:rPr>
          <w:rFonts w:ascii="Century Gothic" w:hAnsi="Century Gothic"/>
          <w:b/>
        </w:rPr>
        <w:t>Les moyens financiers</w:t>
      </w:r>
      <w:r>
        <w:rPr>
          <w:rFonts w:ascii="Century Gothic" w:hAnsi="Century Gothic"/>
        </w:rPr>
        <w:t xml:space="preserve"> seront constitués de frais de prise en charge du formateur et la restauration des participants. Ces moyens financiers seront assurés par le budget du PDIC/REDD+ de Zecco. </w:t>
      </w:r>
      <w:r>
        <w:rPr>
          <w:rFonts w:ascii="Century Gothic" w:cs="Arial" w:hAnsi="Century Gothic"/>
        </w:rPr>
        <w:t xml:space="preserve">L’organisation et la gestion de l’activité sera faite par le maire qui assure le rôle de coordination en collaboration avec </w:t>
      </w:r>
      <w:r>
        <w:rPr>
          <w:rFonts w:ascii="Century Gothic" w:cs="Arial" w:hAnsi="Century Gothic"/>
        </w:rPr>
        <w:t xml:space="preserve">un </w:t>
      </w:r>
      <w:r>
        <w:rPr>
          <w:rFonts w:ascii="Century Gothic" w:cs="Arial" w:hAnsi="Century Gothic"/>
        </w:rPr>
        <w:t>agent l’environnement et les CVD des villages.</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i/>
          <w:u w:val="single"/>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.2.3.2</w:t>
      </w:r>
      <w:r>
        <w:rPr>
          <w:rFonts w:ascii="Century Gothic" w:hAnsi="Century Gothic"/>
          <w:bCs/>
          <w:i/>
          <w:u w:val="single"/>
        </w:rPr>
        <w:t xml:space="preserve">. </w:t>
      </w:r>
      <w:r>
        <w:rPr>
          <w:rFonts w:ascii="Century Gothic" w:hAnsi="Century Gothic"/>
          <w:i/>
          <w:u w:val="single"/>
        </w:rPr>
        <w:t xml:space="preserve">Former 100 </w:t>
      </w:r>
      <w:r>
        <w:rPr>
          <w:rFonts w:ascii="Century Gothic" w:hAnsi="Century Gothic"/>
          <w:bCs/>
          <w:i/>
          <w:u w:val="single"/>
        </w:rPr>
        <w:t xml:space="preserve">producteurs à la production et à l’utilisation du compost dans l’espace de conservation </w:t>
      </w:r>
      <w:r>
        <w:rPr>
          <w:rFonts w:ascii="Century Gothic" w:hAnsi="Century Gothic"/>
          <w:bCs/>
          <w:i/>
          <w:u w:val="single"/>
        </w:rPr>
        <w:t>Zecco</w:t>
      </w:r>
      <w:r>
        <w:rPr>
          <w:rFonts w:ascii="Century Gothic" w:hAnsi="Century Gothic"/>
          <w:bCs/>
          <w:i/>
          <w:u w:val="single"/>
        </w:rPr>
        <w:t xml:space="preserve"> (village</w:t>
      </w:r>
      <w:r>
        <w:rPr>
          <w:rFonts w:ascii="Century Gothic" w:hAnsi="Century Gothic"/>
          <w:bCs/>
          <w:i/>
          <w:u w:val="single"/>
        </w:rPr>
        <w:t>s</w:t>
      </w:r>
      <w:r>
        <w:rPr>
          <w:rFonts w:ascii="Century Gothic" w:hAnsi="Century Gothic"/>
          <w:bCs/>
          <w:i/>
          <w:u w:val="single"/>
        </w:rPr>
        <w:t xml:space="preserve"> de Baré et Guian)</w:t>
      </w:r>
    </w:p>
    <w:p>
      <w:pPr>
        <w:pStyle w:val="style0"/>
        <w:tabs>
          <w:tab w:val="left" w:leader="none" w:pos="1701"/>
          <w:tab w:val="left" w:leader="none" w:pos="9214"/>
          <w:tab w:val="left" w:leader="none" w:pos="9639"/>
        </w:tabs>
        <w:suppressAutoHyphens/>
        <w:jc w:val="both"/>
        <w:rPr>
          <w:rFonts w:ascii="Century Gothic" w:hAnsi="Century Gothic"/>
          <w:bCs/>
          <w:i/>
        </w:rPr>
      </w:pPr>
    </w:p>
    <w:p>
      <w:pPr>
        <w:pStyle w:val="style0"/>
        <w:tabs>
          <w:tab w:val="left" w:leader="none" w:pos="1701"/>
          <w:tab w:val="left" w:leader="none" w:pos="9214"/>
          <w:tab w:val="left" w:leader="none" w:pos="9639"/>
        </w:tabs>
        <w:suppressAutoHyphens/>
        <w:jc w:val="both"/>
        <w:rPr>
          <w:rFonts w:ascii="Century Gothic" w:hAnsi="Century Gothic"/>
          <w:bCs/>
        </w:rPr>
      </w:pPr>
      <w:r>
        <w:rPr>
          <w:rFonts w:ascii="Century Gothic" w:hAnsi="Century Gothic"/>
          <w:b/>
        </w:rPr>
        <w:t xml:space="preserve">L’objectif </w:t>
      </w:r>
      <w:r>
        <w:rPr>
          <w:rFonts w:ascii="Century Gothic" w:hAnsi="Century Gothic"/>
        </w:rPr>
        <w:t xml:space="preserve">de cette activité est de doter les producteurs de compétences leur permettant d’une part de réaliser des fosses fumières et d’autre part de produire du compost et de l’utiliser.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la formation théorique suivie de la pratique. L’identification des participants se fera en concertation avec les responsables villageois sur la base du volontariat et qui auront la charge de répliquer la formation à la communauté.</w:t>
      </w:r>
      <w:r>
        <w:rPr>
          <w:rFonts w:ascii="Century Gothic" w:hAnsi="Century Gothic"/>
        </w:rPr>
        <w:t xml:space="preserve"> </w:t>
      </w:r>
      <w:r>
        <w:rPr>
          <w:rFonts w:ascii="Century Gothic" w:hAnsi="Century Gothic"/>
          <w:b/>
        </w:rPr>
        <w:t>Le résultat attendu</w:t>
      </w:r>
      <w:r>
        <w:rPr>
          <w:rFonts w:ascii="Century Gothic" w:hAnsi="Century Gothic"/>
        </w:rPr>
        <w:t xml:space="preserve"> est qu’à la fin de la formation cent (100) producteurs renforcent leurs capacités techniques dans la production du compost et de son utilisation.</w:t>
      </w:r>
      <w:r>
        <w:rPr>
          <w:rFonts w:ascii="Century Gothic" w:hAnsi="Century Gothic"/>
          <w:b/>
        </w:rPr>
        <w:t xml:space="preserve"> Les moyens physiques</w:t>
      </w:r>
      <w:r>
        <w:rPr>
          <w:rFonts w:ascii="Century Gothic" w:hAnsi="Century Gothic"/>
        </w:rPr>
        <w:t xml:space="preserve"> se résumeront en matériel et fournitures de formation et les </w:t>
      </w:r>
      <w:r>
        <w:rPr>
          <w:rFonts w:ascii="Century Gothic" w:hAnsi="Century Gothic"/>
          <w:b/>
        </w:rPr>
        <w:t>moyens humains</w:t>
      </w:r>
      <w:r>
        <w:rPr>
          <w:rFonts w:ascii="Century Gothic" w:hAnsi="Century Gothic"/>
        </w:rPr>
        <w:t xml:space="preserve"> sont constitués de l’expertise technique service de l’agriculture. </w:t>
      </w:r>
      <w:r>
        <w:rPr>
          <w:rFonts w:ascii="Century Gothic" w:hAnsi="Century Gothic"/>
          <w:b/>
        </w:rPr>
        <w:t>Les moyens financiers</w:t>
      </w:r>
      <w:r>
        <w:rPr>
          <w:rFonts w:ascii="Century Gothic" w:hAnsi="Century Gothic"/>
        </w:rPr>
        <w:t xml:space="preserve"> seront constitués de frais de formation et le suivi technique à la charge du PDIC/REDD+ de Zecco. L’organisation et la gestion de l’activité sera faite par le maire qui assure le rôle de coordination de l’activité en collaboration avec le service de l’agriculture.  </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i/>
          <w:u w:val="single"/>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.2.3.3</w:t>
      </w:r>
      <w:r>
        <w:rPr>
          <w:rFonts w:ascii="Century Gothic" w:hAnsi="Century Gothic"/>
          <w:bCs/>
          <w:i/>
          <w:u w:val="single"/>
        </w:rPr>
        <w:t xml:space="preserve">. </w:t>
      </w:r>
      <w:r>
        <w:rPr>
          <w:rFonts w:ascii="Century Gothic" w:hAnsi="Century Gothic"/>
          <w:i/>
          <w:u w:val="single"/>
        </w:rPr>
        <w:t xml:space="preserve">Former 100 producteurs en technique de fauche et de conservation de fourrage naturel </w:t>
      </w:r>
      <w:r>
        <w:rPr>
          <w:rFonts w:ascii="Century Gothic" w:hAnsi="Century Gothic"/>
          <w:bCs/>
          <w:i/>
          <w:u w:val="single"/>
        </w:rPr>
        <w:t xml:space="preserve">dans l’espace de conservation </w:t>
      </w:r>
      <w:r>
        <w:rPr>
          <w:rFonts w:ascii="Century Gothic" w:hAnsi="Century Gothic"/>
          <w:bCs/>
          <w:i/>
          <w:u w:val="single"/>
        </w:rPr>
        <w:t>Zecco</w:t>
      </w:r>
      <w:r>
        <w:rPr>
          <w:rFonts w:ascii="Century Gothic" w:hAnsi="Century Gothic"/>
          <w:bCs/>
          <w:i/>
          <w:u w:val="single"/>
        </w:rPr>
        <w:t xml:space="preserve"> (village</w:t>
      </w:r>
      <w:r>
        <w:rPr>
          <w:rFonts w:ascii="Century Gothic" w:hAnsi="Century Gothic"/>
          <w:bCs/>
          <w:i/>
          <w:u w:val="single"/>
        </w:rPr>
        <w:t>s</w:t>
      </w:r>
      <w:r>
        <w:rPr>
          <w:rFonts w:ascii="Century Gothic" w:hAnsi="Century Gothic"/>
          <w:bCs/>
          <w:i/>
          <w:u w:val="single"/>
        </w:rPr>
        <w:t xml:space="preserve"> de Baré et Guian)</w:t>
      </w:r>
      <w:r>
        <w:rPr>
          <w:rFonts w:ascii="Century Gothic" w:hAnsi="Century Gothic"/>
          <w:i/>
          <w:u w:val="single"/>
        </w:rPr>
        <w:t>.</w:t>
      </w:r>
    </w:p>
    <w:p>
      <w:pPr>
        <w:pStyle w:val="style179"/>
        <w:tabs>
          <w:tab w:val="left" w:leader="none" w:pos="9214"/>
          <w:tab w:val="left" w:leader="none" w:pos="9639"/>
        </w:tabs>
        <w:ind w:left="0"/>
        <w:jc w:val="both"/>
        <w:rPr>
          <w:rFonts w:ascii="Century Gothic"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hAnsi="Century Gothic"/>
          <w:b/>
        </w:rPr>
        <w:t xml:space="preserve">L’objectif </w:t>
      </w:r>
      <w:r>
        <w:rPr>
          <w:rFonts w:ascii="Century Gothic" w:hAnsi="Century Gothic"/>
        </w:rPr>
        <w:t xml:space="preserve">de cette activité est de contribuer au renforcement des capacités techniques de fauche et de conservation du fourrage naturel des producteurs. Afin </w:t>
      </w:r>
      <w:r>
        <w:rPr>
          <w:rFonts w:ascii="Century Gothic" w:hAnsi="Century Gothic"/>
        </w:rPr>
        <w:t xml:space="preserve">de rendre disponible le fourrage naturel pour l’alimentation du bétail en saison sèche réduisant ainsi la pression de celui-ci sur les espaces de conservation, les éleveurs doivent acquérir de bonnes pratiques de récolte et de conservation du fourrage.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 xml:space="preserve">est que cent (100) producteurs renforcent leurs compétences en matière de fauche et de conservation du fourrage naturel. </w:t>
      </w:r>
      <w:r>
        <w:rPr>
          <w:rFonts w:ascii="Century Gothic" w:hAnsi="Century Gothic"/>
          <w:b/>
        </w:rPr>
        <w:t>Les moyens physiques</w:t>
      </w:r>
      <w:r>
        <w:rPr>
          <w:rFonts w:ascii="Century Gothic" w:hAnsi="Century Gothic"/>
        </w:rPr>
        <w:t xml:space="preserve"> se résument en matériel et fournitures de formation et les </w:t>
      </w:r>
      <w:r>
        <w:rPr>
          <w:rFonts w:ascii="Century Gothic" w:hAnsi="Century Gothic"/>
          <w:b/>
        </w:rPr>
        <w:t>moyens humains</w:t>
      </w:r>
      <w:r>
        <w:rPr>
          <w:rFonts w:ascii="Century Gothic" w:hAnsi="Century Gothic"/>
        </w:rPr>
        <w:t xml:space="preserve"> sont constitués de l’expertise technique du formateur. </w:t>
      </w:r>
      <w:r>
        <w:rPr>
          <w:rFonts w:ascii="Century Gothic" w:hAnsi="Century Gothic"/>
          <w:b/>
        </w:rPr>
        <w:t>Les moyens financiers</w:t>
      </w:r>
      <w:r>
        <w:rPr>
          <w:rFonts w:ascii="Century Gothic" w:hAnsi="Century Gothic"/>
        </w:rPr>
        <w:t xml:space="preserve"> seront constitués de frais de prise du formateur et des participants. Ces ressources seront financées par le budget du PDIC/REDD+ de Zecco. L’organisation et la gestion de l’activité sera faite par le maire qui assure le rôle de coordination de l’activité.  </w:t>
      </w:r>
    </w:p>
    <w:p>
      <w:pPr>
        <w:pStyle w:val="style179"/>
        <w:tabs>
          <w:tab w:val="left" w:leader="none" w:pos="9214"/>
          <w:tab w:val="left" w:leader="none" w:pos="9639"/>
        </w:tabs>
        <w:ind w:left="0"/>
        <w:jc w:val="both"/>
        <w:rPr>
          <w:rFonts w:ascii="Century Gothic" w:hAnsi="Century Gothic"/>
          <w:bCs/>
          <w:i/>
          <w:u w:val="single"/>
        </w:rPr>
      </w:pPr>
    </w:p>
    <w:p>
      <w:pPr>
        <w:pStyle w:val="style0"/>
        <w:spacing w:lineRule="auto" w:line="276"/>
        <w:jc w:val="both"/>
        <w:rPr>
          <w:rFonts w:ascii="Century Gothic" w:hAnsi="Century Gothic"/>
          <w:bCs/>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.2.3.4</w:t>
      </w:r>
      <w:r>
        <w:rPr>
          <w:rFonts w:ascii="Century Gothic" w:hAnsi="Century Gothic"/>
          <w:bCs/>
          <w:i/>
          <w:u w:val="single"/>
        </w:rPr>
        <w:t xml:space="preserve">. </w:t>
      </w:r>
      <w:r>
        <w:rPr>
          <w:rFonts w:ascii="Century Gothic" w:hAnsi="Century Gothic"/>
          <w:i/>
          <w:u w:val="single"/>
        </w:rPr>
        <w:t>F</w:t>
      </w:r>
      <w:r>
        <w:rPr>
          <w:rFonts w:ascii="Century Gothic" w:hAnsi="Century Gothic"/>
          <w:bCs/>
          <w:i/>
          <w:u w:val="single"/>
        </w:rPr>
        <w:t xml:space="preserve">ormer 30 membres </w:t>
      </w:r>
      <w:r>
        <w:rPr>
          <w:rFonts w:ascii="Century Gothic" w:hAnsi="Century Gothic"/>
          <w:bCs/>
          <w:i/>
          <w:u w:val="single"/>
        </w:rPr>
        <w:t xml:space="preserve">de la </w:t>
      </w:r>
      <w:r>
        <w:rPr>
          <w:rFonts w:ascii="Century Gothic" w:hAnsi="Century Gothic"/>
          <w:i/>
          <w:u w:val="single"/>
        </w:rPr>
        <w:t xml:space="preserve">coopérative Baré sakia </w:t>
      </w:r>
      <w:r>
        <w:rPr>
          <w:rFonts w:ascii="Century Gothic" w:hAnsi="Century Gothic"/>
          <w:bCs/>
          <w:i/>
          <w:u w:val="single"/>
        </w:rPr>
        <w:t>du village Baré en aviculture</w:t>
      </w:r>
      <w:r>
        <w:rPr>
          <w:rFonts w:ascii="Century Gothic" w:hAnsi="Century Gothic"/>
          <w:bCs/>
        </w:rPr>
        <w:t xml:space="preserve">. </w:t>
      </w:r>
    </w:p>
    <w:p>
      <w:pPr>
        <w:pStyle w:val="style0"/>
        <w:spacing w:lineRule="auto" w:line="276"/>
        <w:jc w:val="both"/>
        <w:rPr>
          <w:rFonts w:ascii="Century Gothic" w:hAnsi="Century Gothic"/>
          <w:b/>
        </w:rPr>
      </w:pPr>
    </w:p>
    <w:p>
      <w:pPr>
        <w:pStyle w:val="style0"/>
        <w:spacing w:lineRule="auto" w:line="276"/>
        <w:jc w:val="both"/>
        <w:rPr>
          <w:rFonts w:ascii="Century Gothic" w:hAnsi="Century Gothic"/>
        </w:rPr>
      </w:pPr>
      <w:r>
        <w:rPr>
          <w:rFonts w:ascii="Century Gothic" w:hAnsi="Century Gothic"/>
          <w:b/>
        </w:rPr>
        <w:t xml:space="preserve">L’objectif </w:t>
      </w:r>
      <w:r>
        <w:rPr>
          <w:rFonts w:ascii="Century Gothic" w:hAnsi="Century Gothic"/>
        </w:rPr>
        <w:t xml:space="preserve">de cette activité est d’habiliter l’ensemble des bénéficiaires l’élevage de la volaille. </w:t>
      </w:r>
      <w:r>
        <w:rPr>
          <w:rFonts w:ascii="Century Gothic" w:hAnsi="Century Gothic"/>
          <w:b/>
        </w:rPr>
        <w:t>Le</w:t>
      </w:r>
      <w:r>
        <w:rPr>
          <w:rFonts w:ascii="Century Gothic" w:hAnsi="Century Gothic"/>
        </w:rPr>
        <w:t xml:space="preserve"> </w:t>
      </w:r>
      <w:r>
        <w:rPr>
          <w:rFonts w:ascii="Century Gothic" w:hAnsi="Century Gothic"/>
          <w:b/>
        </w:rPr>
        <w:t>résultat</w:t>
      </w:r>
      <w:r>
        <w:rPr>
          <w:rFonts w:ascii="Century Gothic" w:hAnsi="Century Gothic"/>
        </w:rPr>
        <w:t xml:space="preserve"> à l’issu de cette formation est la maitrise avicoles par les 30 bénéficiaires pour une augmentation de revenus.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va reposer sur une animation de la formation </w:t>
      </w:r>
      <w:r>
        <w:rPr>
          <w:rFonts w:ascii="Century Gothic" w:hAnsi="Century Gothic"/>
        </w:rPr>
        <w:t>des ressources animales</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reposeront essentiellement sur l’expertise </w:t>
      </w:r>
      <w:r>
        <w:rPr>
          <w:rFonts w:ascii="Century Gothic" w:hAnsi="Century Gothic"/>
        </w:rPr>
        <w:t xml:space="preserve">du formateur. </w:t>
      </w:r>
      <w:r>
        <w:rPr>
          <w:rFonts w:ascii="Century Gothic" w:hAnsi="Century Gothic"/>
          <w:b/>
        </w:rPr>
        <w:t>L</w:t>
      </w:r>
      <w:r>
        <w:rPr>
          <w:rFonts w:ascii="Century Gothic" w:hAnsi="Century Gothic"/>
          <w:b/>
        </w:rPr>
        <w:t>es moyens matériels</w:t>
      </w:r>
      <w:r>
        <w:rPr>
          <w:rFonts w:ascii="Century Gothic" w:hAnsi="Century Gothic"/>
        </w:rPr>
        <w:t xml:space="preserve"> seront constitués de matériels et fourniture</w:t>
      </w:r>
      <w:r>
        <w:rPr>
          <w:rFonts w:ascii="Century Gothic" w:hAnsi="Century Gothic"/>
        </w:rPr>
        <w:t>s</w:t>
      </w:r>
      <w:r>
        <w:rPr>
          <w:rFonts w:ascii="Century Gothic" w:hAnsi="Century Gothic"/>
        </w:rPr>
        <w:t xml:space="preserve"> de la formation. </w:t>
      </w:r>
      <w:r>
        <w:rPr>
          <w:rFonts w:ascii="Century Gothic" w:hAnsi="Century Gothic"/>
          <w:b/>
        </w:rPr>
        <w:t>Les moyens financiers</w:t>
      </w:r>
      <w:r>
        <w:rPr>
          <w:rFonts w:ascii="Century Gothic" w:hAnsi="Century Gothic"/>
        </w:rPr>
        <w:t xml:space="preserve"> seront constitués de frais de prise du formateur et la restauration des participants. Ces ressources seront financées par le budget du PDIC/REDD+ de Zecco. L’organisation et la gestion de l’activité sera faite par le maire qui assure le rôle de coordination de l’activité en collaboration la coopérative </w:t>
      </w:r>
      <w:r>
        <w:rPr>
          <w:rFonts w:ascii="Century Gothic" w:hAnsi="Century Gothic"/>
        </w:rPr>
        <w:t>Baré sakia</w:t>
      </w:r>
      <w:r>
        <w:rPr>
          <w:rFonts w:ascii="Century Gothic" w:hAnsi="Century Gothic"/>
        </w:rPr>
        <w:t xml:space="preserve"> de Baré et service d’élevage de Zecco.</w:t>
      </w:r>
    </w:p>
    <w:p>
      <w:pPr>
        <w:pStyle w:val="style0"/>
        <w:spacing w:after="160" w:lineRule="auto" w:line="259"/>
        <w:rPr>
          <w:rFonts w:ascii="Century Gothic" w:hAnsi="Century Gothic"/>
        </w:rPr>
      </w:pPr>
      <w:r>
        <w:rPr>
          <w:rFonts w:ascii="Century Gothic" w:hAnsi="Century Gothic"/>
        </w:rPr>
        <w:br w:type="page"/>
      </w:r>
    </w:p>
    <w:p>
      <w:pPr>
        <w:pStyle w:val="style0"/>
        <w:tabs>
          <w:tab w:val="left" w:leader="none" w:pos="9214"/>
          <w:tab w:val="left" w:leader="none" w:pos="9639"/>
        </w:tabs>
        <w:rPr>
          <w:rFonts w:ascii="Century Gothic" w:hAnsi="Century Gothic"/>
        </w:rPr>
      </w:pPr>
    </w:p>
    <w:bookmarkStart w:id="29" w:name="_Toc82049054"/>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4.3. Espace de conservation de la forêt sacrée de Baré</w:t>
      </w:r>
      <w:bookmarkEnd w:id="29"/>
    </w:p>
    <w:p>
      <w:pPr>
        <w:pStyle w:val="style0"/>
        <w:tabs>
          <w:tab w:val="left" w:leader="none" w:pos="9214"/>
          <w:tab w:val="left" w:leader="none" w:pos="9639"/>
        </w:tabs>
        <w:rPr>
          <w:rFonts w:ascii="Century Gothic" w:hAnsi="Century Gothic"/>
        </w:rPr>
      </w:pPr>
    </w:p>
    <w:bookmarkStart w:id="30" w:name="_Toc82049055"/>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4.3.1. Description de la forêt villageoise de Baré (forêt sacrée)</w:t>
      </w:r>
      <w:bookmarkEnd w:id="30"/>
    </w:p>
    <w:p>
      <w:pPr>
        <w:pStyle w:val="style0"/>
        <w:widowControl w:val="false"/>
        <w:autoSpaceDE w:val="false"/>
        <w:autoSpaceDN w:val="false"/>
        <w:adjustRightInd w:val="false"/>
        <w:jc w:val="both"/>
        <w:rPr>
          <w:rFonts w:ascii="Century Gothic" w:hAnsi="Century Gothic"/>
        </w:rPr>
      </w:pPr>
    </w:p>
    <w:p>
      <w:pPr>
        <w:pStyle w:val="style0"/>
        <w:widowControl w:val="false"/>
        <w:autoSpaceDE w:val="false"/>
        <w:autoSpaceDN w:val="false"/>
        <w:adjustRightInd w:val="false"/>
        <w:jc w:val="both"/>
        <w:rPr>
          <w:rFonts w:ascii="Century Gothic" w:hAnsi="Century Gothic"/>
        </w:rPr>
      </w:pPr>
      <w:r>
        <w:rPr>
          <w:rFonts w:ascii="Century Gothic" w:hAnsi="Century Gothic"/>
          <w:noProof/>
        </w:rPr>
        <mc:AlternateContent>
          <mc:Choice Requires="wpg">
            <w:drawing>
              <wp:anchor distT="0" distB="0" distL="114300" distR="114300" simplePos="false" relativeHeight="5" behindDoc="true" locked="false" layoutInCell="true" allowOverlap="true">
                <wp:simplePos x="0" y="0"/>
                <wp:positionH relativeFrom="margin">
                  <wp:posOffset>1512570</wp:posOffset>
                </wp:positionH>
                <wp:positionV relativeFrom="paragraph">
                  <wp:posOffset>10795</wp:posOffset>
                </wp:positionV>
                <wp:extent cx="4495800" cy="4076064"/>
                <wp:effectExtent l="0" t="0" r="0" b="635"/>
                <wp:wrapTight wrapText="bothSides">
                  <wp:wrapPolygon edited="false">
                    <wp:start x="0" y="0"/>
                    <wp:lineTo x="0" y="21502"/>
                    <wp:lineTo x="21508" y="21502"/>
                    <wp:lineTo x="21508" y="0"/>
                    <wp:lineTo x="0" y="0"/>
                  </wp:wrapPolygon>
                </wp:wrapTight>
                <wp:docPr id="1040" name="Groupe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95800" cy="4076064"/>
                          <a:chOff x="0" y="0"/>
                          <a:chExt cx="4320540" cy="4644441"/>
                        </a:xfrm>
                      </wpg:grpSpPr>
                      <wps:wsp>
                        <wps:cNvSpPr/>
                        <wps:spPr>
                          <a:xfrm rot="0">
                            <a:off x="30480" y="4236720"/>
                            <a:ext cx="4290060" cy="407721"/>
                          </a:xfrm>
                          <a:prstGeom prst="rect"/>
                          <a:solidFill>
                            <a:srgbClr val="ffffff"/>
                          </a:solidFill>
                          <a:ln>
                            <a:noFill/>
                          </a:ln>
                        </wps:spPr>
                        <wps:txbx id="1041">
                          <w:txbxContent>
                            <w:p>
                              <w:pPr>
                                <w:pStyle w:val="style0"/>
                                <w:widowControl w:val="false"/>
                                <w:autoSpaceDE w:val="false"/>
                                <w:autoSpaceDN w:val="false"/>
                                <w:adjustRightInd w:val="false"/>
                                <w:jc w:val="center"/>
                                <w:rPr>
                                  <w:rFonts w:ascii="Century Gothic" w:hAnsi="Century Gothic"/>
                                  <w:b/>
                                  <w:i/>
                                </w:rPr>
                              </w:pPr>
                              <w:r>
                                <w:rPr>
                                  <w:rFonts w:ascii="Century Gothic" w:hAnsi="Century Gothic"/>
                                  <w:b/>
                                  <w:i/>
                                </w:rPr>
                                <w:t>Vue de la forêt villageoise de Baré</w:t>
                              </w:r>
                            </w:p>
                            <w:p>
                              <w:pPr>
                                <w:pStyle w:val="style0"/>
                                <w:rPr/>
                              </w:pPr>
                            </w:p>
                          </w:txbxContent>
                        </wps:txbx>
                        <wps:bodyPr lIns="91440" rIns="91440" tIns="45720" bIns="45720" vert="horz" anchor="t" wrap="square">
                          <a:prstTxWarp prst="textNoShape"/>
                          <a:noAutofit/>
                        </wps:bodyPr>
                      </wps:wsp>
                      <pic:pic xmlns:pic="http://schemas.openxmlformats.org/drawingml/2006/picture">
                        <pic:nvPicPr>
                          <pic:cNvPr id="8" name="Image"/>
                          <pic:cNvPicPr/>
                        </pic:nvPicPr>
                        <pic:blipFill>
                          <a:blip r:embed="rId13" cstate="print"/>
                          <a:srcRect l="0" t="0" r="0" b="0"/>
                          <a:stretch/>
                        </pic:blipFill>
                        <pic:spPr>
                          <a:xfrm rot="0">
                            <a:off x="0" y="0"/>
                            <a:ext cx="4320540" cy="4267200"/>
                          </a:xfrm>
                          <a:prstGeom prst="rect"/>
                          <a:ln>
                            <a:noFill/>
                          </a:ln>
                        </pic:spPr>
                      </pic:pic>
                    </wpg:wgp>
                  </a:graphicData>
                </a:graphic>
                <wp14:sizeRelH relativeFrom="margin">
                  <wp14:pctWidth>0</wp14:pctWidth>
                </wp14:sizeRelH>
                <wp14:sizeRelV relativeFrom="margin">
                  <wp14:pctHeight>0</wp14:pctHeight>
                </wp14:sizeRelV>
              </wp:anchor>
            </w:drawing>
          </mc:Choice>
          <mc:Fallback>
            <w:pict>
              <v:group id="1040" filled="f" stroked="f" style="position:absolute;margin-left:119.1pt;margin-top:0.85pt;width:354.0pt;height:320.95pt;z-index:-2147483642;mso-position-horizontal-relative:margin;mso-position-vertical-relative:text;mso-width-percent:0;mso-height-percent:0;mso-width-relative:margin;mso-height-relative:margin;visibility:visible;" coordsize="4320540,4644441">
                <v:rect id="1041" fillcolor="white" stroked="f" style="position:absolute;left:30480;top:4236720;width:4290060;height:407721;z-index:2;mso-position-horizontal-relative:page;mso-position-vertical-relative:page;mso-width-relative:page;mso-height-relative:page;visibility:visible;">
                  <v:stroke on="f" weight="0.5pt"/>
                  <v:fill/>
                  <v:textbox inset="7.2pt,3.6pt,7.2pt,3.6pt">
                    <w:txbxContent>
                      <w:p>
                        <w:pPr>
                          <w:pStyle w:val="style0"/>
                          <w:widowControl w:val="false"/>
                          <w:autoSpaceDE w:val="false"/>
                          <w:autoSpaceDN w:val="false"/>
                          <w:adjustRightInd w:val="false"/>
                          <w:jc w:val="center"/>
                          <w:rPr>
                            <w:rFonts w:ascii="Century Gothic" w:hAnsi="Century Gothic"/>
                            <w:b/>
                            <w:i/>
                          </w:rPr>
                        </w:pPr>
                        <w:r>
                          <w:rPr>
                            <w:rFonts w:ascii="Century Gothic" w:hAnsi="Century Gothic"/>
                            <w:b/>
                            <w:i/>
                          </w:rPr>
                          <w:t>Vue de la forêt villageoise de Baré</w:t>
                        </w:r>
                      </w:p>
                      <w:p>
                        <w:pPr>
                          <w:pStyle w:val="style0"/>
                          <w:rPr/>
                        </w:pPr>
                      </w:p>
                    </w:txbxContent>
                  </v:textbox>
                </v:rect>
                <v:shape id="1042" type="#_x0000_t75" filled="f" stroked="f" style="position:absolute;left:0;top:0;width:4320540;height:4267200;z-index:3;mso-position-horizontal-relative:page;mso-position-vertical-relative:page;mso-width-relative:page;mso-height-relative:page;visibility:visible;">
                  <v:imagedata r:id="rId13" embosscolor="white" o:title=""/>
                  <v:stroke on="f"/>
                  <v:fill/>
                </v:shape>
                <w10:wrap type="tight"/>
                <v:fill/>
              </v:group>
            </w:pict>
          </mc:Fallback>
        </mc:AlternateContent>
      </w:r>
      <w:r>
        <w:rPr>
          <w:rFonts w:ascii="Century Gothic" w:hAnsi="Century Gothic"/>
        </w:rPr>
        <w:t>Situé à moins de 300 mètres de l’espace de conservation Zecco</w:t>
      </w:r>
      <w:r>
        <w:rPr>
          <w:rFonts w:ascii="Century Gothic" w:hAnsi="Century Gothic"/>
        </w:rPr>
        <w:t xml:space="preserve"> (forêt communale de Zecco)</w:t>
      </w:r>
      <w:r>
        <w:rPr>
          <w:rFonts w:ascii="Century Gothic" w:hAnsi="Century Gothic"/>
        </w:rPr>
        <w:t>, il s’agit un massif forestier de taille relativement très réduite (environ 1,97 hectare). Il s’agit également d’un lieu sacré du village de Baré. Il s’agit d’une formation arborée relativement dense et un site de transit pour des roussettes pendant leur migration.</w:t>
      </w:r>
      <w:r>
        <w:rPr>
          <w:rFonts w:ascii="Century Gothic" w:hAnsi="Century Gothic"/>
        </w:rPr>
        <w:t xml:space="preserve"> Cette forêt est répérée par les coordonnées de son centroïde X= 730255 et Y= 1218189 (WGS 84, UTM zone 30N).</w:t>
      </w:r>
    </w:p>
    <w:p>
      <w:pPr>
        <w:pStyle w:val="style0"/>
        <w:tabs>
          <w:tab w:val="left" w:leader="none" w:pos="9214"/>
          <w:tab w:val="left" w:leader="none" w:pos="9639"/>
        </w:tabs>
        <w:rPr>
          <w:rFonts w:ascii="Century Gothic" w:hAnsi="Century Gothic"/>
        </w:rPr>
      </w:pPr>
    </w:p>
    <w:bookmarkStart w:id="31" w:name="_Toc82049056"/>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4.3.2. Activités induites d’amélioration des productivités et des revenus dans l’espace de conservation de Baré (forêt villageoise)</w:t>
      </w:r>
      <w:bookmarkEnd w:id="31"/>
    </w:p>
    <w:p>
      <w:pPr>
        <w:pStyle w:val="style0"/>
        <w:tabs>
          <w:tab w:val="left" w:leader="none" w:pos="9214"/>
          <w:tab w:val="left" w:leader="none" w:pos="9639"/>
        </w:tabs>
        <w:jc w:val="both"/>
        <w:rPr>
          <w:rFonts w:ascii="Century Gothic" w:hAnsi="Century Gothic"/>
          <w:b/>
          <w:u w:val="single"/>
        </w:rPr>
      </w:pPr>
    </w:p>
    <w:p>
      <w:pPr>
        <w:pStyle w:val="style0"/>
        <w:tabs>
          <w:tab w:val="left" w:leader="none" w:pos="9214"/>
          <w:tab w:val="left" w:leader="none" w:pos="9639"/>
        </w:tabs>
        <w:jc w:val="both"/>
        <w:rPr>
          <w:rFonts w:ascii="Century Gothic" w:hAnsi="Century Gothic"/>
          <w:i/>
        </w:rPr>
      </w:pPr>
      <w:r>
        <w:rPr>
          <w:rFonts w:ascii="Century Gothic" w:hAnsi="Century Gothic"/>
          <w:i/>
          <w:u w:val="single"/>
        </w:rPr>
        <w:t xml:space="preserve">Activité </w:t>
      </w:r>
      <w:r>
        <w:rPr>
          <w:rFonts w:ascii="Century Gothic" w:hAnsi="Century Gothic"/>
          <w:i/>
          <w:u w:val="single"/>
        </w:rPr>
        <w:t>4.</w:t>
      </w:r>
      <w:r>
        <w:rPr>
          <w:rFonts w:ascii="Century Gothic" w:hAnsi="Century Gothic"/>
          <w:i/>
          <w:u w:val="single"/>
        </w:rPr>
        <w:t>3.</w:t>
      </w:r>
      <w:r>
        <w:rPr>
          <w:rFonts w:ascii="Century Gothic" w:hAnsi="Century Gothic"/>
          <w:i/>
          <w:u w:val="single"/>
        </w:rPr>
        <w:t>2</w:t>
      </w:r>
      <w:r>
        <w:rPr>
          <w:rFonts w:ascii="Century Gothic" w:hAnsi="Century Gothic"/>
          <w:i/>
          <w:u w:val="single"/>
        </w:rPr>
        <w:t>.1. Réaliser des plantations d’enrichissement/délimitation de la forêt sacrée de Baré (1,97 hectares)</w:t>
      </w:r>
      <w:r>
        <w:rPr>
          <w:rFonts w:ascii="Century Gothic" w:hAnsi="Century Gothic"/>
          <w:i/>
        </w:rPr>
        <w:t xml:space="preserve"> </w:t>
      </w:r>
    </w:p>
    <w:p>
      <w:pPr>
        <w:pStyle w:val="style0"/>
        <w:tabs>
          <w:tab w:val="left" w:leader="none" w:pos="9214"/>
          <w:tab w:val="left" w:leader="none" w:pos="9639"/>
        </w:tabs>
        <w:jc w:val="both"/>
        <w:rPr>
          <w:rFonts w:ascii="Century Gothic" w:hAnsi="Century Gothic"/>
          <w:b/>
          <w:i/>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b/>
          <w:i/>
        </w:rPr>
        <w:t> </w:t>
      </w:r>
      <w:r>
        <w:rPr>
          <w:rFonts w:ascii="Century Gothic" w:hAnsi="Century Gothic"/>
        </w:rPr>
        <w:t>est d’accroitre la capacité de séquestration de carbone de la forêt sacrée de Baré d’une superficie de 1,9</w:t>
      </w:r>
      <w:r>
        <w:rPr>
          <w:rFonts w:ascii="Century Gothic" w:hAnsi="Century Gothic"/>
        </w:rPr>
        <w:t>7</w:t>
      </w:r>
      <w:r>
        <w:rPr>
          <w:rFonts w:ascii="Century Gothic" w:hAnsi="Century Gothic"/>
        </w:rPr>
        <w:t xml:space="preserve"> Hectares. </w:t>
      </w:r>
      <w:r>
        <w:rPr>
          <w:rFonts w:ascii="Century Gothic" w:hAnsi="Century Gothic"/>
          <w:b/>
        </w:rPr>
        <w:t>La méthode</w:t>
      </w:r>
      <w:r>
        <w:rPr>
          <w:rFonts w:ascii="Century Gothic" w:hAnsi="Century Gothic"/>
        </w:rPr>
        <w:t xml:space="preserve"> : Il s’agira des plantations de délimitation d’une rangée sur une longueur totale de 510 mètres de périmètre (soit </w:t>
      </w:r>
      <w:r>
        <w:rPr>
          <w:rFonts w:ascii="Century Gothic" w:hAnsi="Century Gothic"/>
        </w:rPr>
        <w:t>255</w:t>
      </w:r>
      <w:r>
        <w:rPr>
          <w:rFonts w:ascii="Century Gothic" w:hAnsi="Century Gothic"/>
        </w:rPr>
        <w:t xml:space="preserve"> plants en raison d’un écartement de </w:t>
      </w:r>
      <w:r>
        <w:rPr>
          <w:rFonts w:ascii="Century Gothic" w:hAnsi="Century Gothic"/>
        </w:rPr>
        <w:t>2</w:t>
      </w:r>
      <w:r>
        <w:rPr>
          <w:rFonts w:ascii="Century Gothic" w:hAnsi="Century Gothic"/>
        </w:rPr>
        <w:t xml:space="preserve">mètres). </w:t>
      </w:r>
      <w:r>
        <w:rPr>
          <w:rFonts w:ascii="Century Gothic" w:hAnsi="Century Gothic"/>
          <w:b/>
        </w:rPr>
        <w:t>Les moyens humains</w:t>
      </w:r>
      <w:r>
        <w:rPr>
          <w:rFonts w:ascii="Century Gothic" w:hAnsi="Century Gothic"/>
          <w:b/>
          <w:i/>
        </w:rPr>
        <w:t xml:space="preserve"> </w:t>
      </w:r>
      <w:r>
        <w:rPr>
          <w:rFonts w:ascii="Century Gothic" w:hAnsi="Century Gothic"/>
        </w:rPr>
        <w:t xml:space="preserve">sont constitués de l’expertise technique du service forestier et l’accompagnement des populations riveraines pour les trouaisons, la plantation et les entretiens. </w:t>
      </w:r>
      <w:r>
        <w:rPr>
          <w:rFonts w:ascii="Century Gothic" w:hAnsi="Century Gothic"/>
          <w:b/>
        </w:rPr>
        <w:t>Les moyens matériels</w:t>
      </w:r>
      <w:r>
        <w:rPr>
          <w:rFonts w:ascii="Century Gothic" w:hAnsi="Century Gothic"/>
        </w:rPr>
        <w:t xml:space="preserve"> seront constitués de plants, de pioches, pic à gaz et de pelles, des mètres ruban du matériel technique d’évaluation des ressources.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 et des trouaisons et plantations. Ces ressources seront financées par le budget du PDIC/REDD+ de Zecco. L’organisation et la gestion de l’activité sera faite par la commune qui assure </w:t>
      </w:r>
      <w:r>
        <w:rPr>
          <w:rFonts w:ascii="Century Gothic" w:hAnsi="Century Gothic"/>
        </w:rPr>
        <w:t xml:space="preserve">le rôle de coordination en collaboration avec, l’association Ga Mo Wigna, le service forestier et les CVD des villages riverains pour l’exécution.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i/>
          <w:u w:val="single"/>
        </w:rPr>
      </w:pPr>
      <w:r>
        <w:rPr>
          <w:rFonts w:ascii="Century Gothic" w:hAnsi="Century Gothic"/>
          <w:i/>
          <w:u w:val="single"/>
        </w:rPr>
        <w:t xml:space="preserve">Activité </w:t>
      </w:r>
      <w:r>
        <w:rPr>
          <w:rFonts w:ascii="Century Gothic" w:hAnsi="Century Gothic"/>
          <w:i/>
          <w:u w:val="single"/>
        </w:rPr>
        <w:t>4.</w:t>
      </w:r>
      <w:r>
        <w:rPr>
          <w:rFonts w:ascii="Century Gothic" w:hAnsi="Century Gothic"/>
          <w:i/>
          <w:u w:val="single"/>
        </w:rPr>
        <w:t>3.</w:t>
      </w:r>
      <w:r>
        <w:rPr>
          <w:rFonts w:ascii="Century Gothic" w:hAnsi="Century Gothic"/>
          <w:i/>
          <w:u w:val="single"/>
        </w:rPr>
        <w:t>2</w:t>
      </w:r>
      <w:r>
        <w:rPr>
          <w:rFonts w:ascii="Century Gothic" w:hAnsi="Century Gothic"/>
          <w:i/>
          <w:u w:val="single"/>
        </w:rPr>
        <w:t>.2</w:t>
      </w:r>
      <w:r>
        <w:rPr>
          <w:rFonts w:ascii="Century Gothic" w:hAnsi="Century Gothic"/>
          <w:i/>
          <w:u w:val="single"/>
        </w:rPr>
        <w:t xml:space="preserve">. Réaliser le bornage de la forêt villageoise </w:t>
      </w:r>
      <w:r>
        <w:rPr>
          <w:rFonts w:ascii="Century Gothic" w:hAnsi="Century Gothic"/>
          <w:i/>
          <w:u w:val="single"/>
        </w:rPr>
        <w:t>sacrée de Baré</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b/>
          <w:i/>
        </w:rPr>
        <w:t> :</w:t>
      </w:r>
      <w:r>
        <w:rPr>
          <w:rFonts w:ascii="Century Gothic" w:hAnsi="Century Gothic"/>
        </w:rPr>
        <w:t xml:space="preserve"> sécuriser l’intégrité physique de la forêt </w:t>
      </w:r>
      <w:r>
        <w:rPr>
          <w:rFonts w:ascii="Century Gothic" w:hAnsi="Century Gothic"/>
        </w:rPr>
        <w:t>sacrée de Baré</w:t>
      </w:r>
      <w:r>
        <w:rPr>
          <w:rFonts w:ascii="Century Gothic" w:hAnsi="Century Gothic"/>
        </w:rPr>
        <w:t>.</w:t>
      </w:r>
      <w:r>
        <w:rPr>
          <w:rFonts w:ascii="Century Gothic" w:hAnsi="Century Gothic"/>
        </w:rPr>
        <w:t xml:space="preserve">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va reposer sur la confection et la pose de bornes de 20cm/20cm sur les coordonnées des sommets de la forêt. Ce qui donne un total de </w:t>
      </w:r>
      <w:r>
        <w:rPr>
          <w:rFonts w:ascii="Century Gothic" w:hAnsi="Century Gothic"/>
        </w:rPr>
        <w:t>11</w:t>
      </w:r>
      <w:r>
        <w:rPr>
          <w:rFonts w:ascii="Century Gothic" w:hAnsi="Century Gothic"/>
        </w:rPr>
        <w:t xml:space="preserve"> bornes qui occuperont une superficie de </w:t>
      </w:r>
      <w:r>
        <w:rPr>
          <w:rFonts w:ascii="Century Gothic" w:hAnsi="Century Gothic"/>
        </w:rPr>
        <w:t>44</w:t>
      </w:r>
      <w:r>
        <w:rPr>
          <w:rFonts w:ascii="Century Gothic" w:hAnsi="Century Gothic"/>
        </w:rPr>
        <w:t>00cm² (</w:t>
      </w:r>
      <w:r>
        <w:rPr>
          <w:rFonts w:ascii="Century Gothic" w:hAnsi="Century Gothic"/>
        </w:rPr>
        <w:t>0,44</w:t>
      </w:r>
      <w:r>
        <w:rPr>
          <w:rFonts w:ascii="Century Gothic" w:hAnsi="Century Gothic"/>
        </w:rPr>
        <w:t xml:space="preserve"> </w:t>
      </w:r>
      <w:r>
        <w:rPr>
          <w:rFonts w:ascii="Century Gothic" w:hAnsi="Century Gothic"/>
        </w:rPr>
        <w:t xml:space="preserve">m²) de surface. Le projet va faire recours à un prestataire pour la réalisation de l’activité. </w:t>
      </w:r>
      <w:r>
        <w:rPr>
          <w:rFonts w:ascii="Century Gothic" w:hAnsi="Century Gothic"/>
          <w:b/>
        </w:rPr>
        <w:t>Les moyens physiques</w:t>
      </w:r>
      <w:r>
        <w:rPr>
          <w:rFonts w:ascii="Century Gothic" w:hAnsi="Century Gothic"/>
        </w:rPr>
        <w:t xml:space="preserve"> se résumeront en bornes, et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constitués de l’expertise technique du prestataire et le suivi contrôle de qualité du service forestier et de l’agent domanial de la mairie. </w:t>
      </w:r>
      <w:r>
        <w:rPr>
          <w:rFonts w:ascii="Century Gothic" w:hAnsi="Century Gothic"/>
          <w:b/>
        </w:rPr>
        <w:t>Les moyens financiers</w:t>
      </w:r>
      <w:r>
        <w:rPr>
          <w:rFonts w:ascii="Century Gothic" w:hAnsi="Century Gothic"/>
        </w:rPr>
        <w:t xml:space="preserve"> seront l’offre financière du prestataire et les frais de prise en charge du service forestier et l’agent domaniale pour le suivi et le contrôle des travaux. Ces ressources seront financées par le budget du PDIC/REDD+ de Zecco. L’organisation et la gestion de l’activité sera faite par la commune qui assure le rôle de coordination et prendra contact avec le prestataire sélectionné.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i/>
          <w:u w:val="single"/>
        </w:rPr>
        <w:t>Activité 4.</w:t>
      </w:r>
      <w:r>
        <w:rPr>
          <w:rFonts w:ascii="Century Gothic" w:hAnsi="Century Gothic"/>
          <w:i/>
          <w:u w:val="single"/>
        </w:rPr>
        <w:t>3.</w:t>
      </w:r>
      <w:r>
        <w:rPr>
          <w:rFonts w:ascii="Century Gothic" w:hAnsi="Century Gothic"/>
          <w:i/>
          <w:u w:val="single"/>
        </w:rPr>
        <w:t>2.</w:t>
      </w:r>
      <w:r>
        <w:rPr>
          <w:rFonts w:ascii="Century Gothic" w:hAnsi="Century Gothic"/>
          <w:i/>
          <w:u w:val="single"/>
        </w:rPr>
        <w:t>3</w:t>
      </w:r>
      <w:r>
        <w:rPr>
          <w:rFonts w:ascii="Century Gothic" w:hAnsi="Century Gothic"/>
          <w:i/>
          <w:u w:val="single"/>
        </w:rPr>
        <w:t xml:space="preserve">. </w:t>
      </w:r>
      <w:r>
        <w:rPr>
          <w:rFonts w:ascii="Century Gothic" w:cs="Arial" w:hAnsi="Century Gothic"/>
          <w:i/>
          <w:u w:val="single"/>
        </w:rPr>
        <w:t xml:space="preserve">Confectionner et fixer </w:t>
      </w:r>
      <w:r>
        <w:rPr>
          <w:rFonts w:ascii="Century Gothic" w:cs="Arial" w:hAnsi="Century Gothic"/>
          <w:i/>
          <w:u w:val="single"/>
        </w:rPr>
        <w:t>deux</w:t>
      </w:r>
      <w:r>
        <w:rPr>
          <w:rFonts w:ascii="Century Gothic" w:cs="Arial" w:hAnsi="Century Gothic"/>
          <w:i/>
          <w:u w:val="single"/>
        </w:rPr>
        <w:t xml:space="preserve"> (</w:t>
      </w:r>
      <w:r>
        <w:rPr>
          <w:rFonts w:ascii="Century Gothic" w:cs="Arial" w:hAnsi="Century Gothic"/>
          <w:i/>
          <w:u w:val="single"/>
        </w:rPr>
        <w:t>2</w:t>
      </w:r>
      <w:r>
        <w:rPr>
          <w:rFonts w:ascii="Century Gothic" w:cs="Arial" w:hAnsi="Century Gothic"/>
          <w:i/>
          <w:u w:val="single"/>
        </w:rPr>
        <w:t xml:space="preserve">) de panneaux d'information et de sensibilisation sur la forêt </w:t>
      </w:r>
      <w:r>
        <w:rPr>
          <w:rFonts w:ascii="Century Gothic" w:cs="Arial" w:hAnsi="Century Gothic"/>
          <w:i/>
          <w:u w:val="single"/>
        </w:rPr>
        <w:t xml:space="preserve">sacré </w:t>
      </w:r>
      <w:r>
        <w:rPr>
          <w:rFonts w:ascii="Century Gothic" w:cs="Arial" w:hAnsi="Century Gothic"/>
          <w:i/>
          <w:u w:val="single"/>
        </w:rPr>
        <w:t>de Baré</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rPr>
        <w:t xml:space="preserve"> de cette activité est de renforcer la sécurisation et la visibilité de forêt villageoise de Baré</w:t>
      </w:r>
      <w:r>
        <w:rPr>
          <w:rFonts w:ascii="Century Gothic" w:cs="Arial" w:hAnsi="Century Gothic"/>
          <w:iCs/>
        </w:rPr>
        <w:t xml:space="preserve">. Cette activité vient renforcer l’activité de </w:t>
      </w:r>
      <w:r>
        <w:rPr>
          <w:rFonts w:ascii="Century Gothic" w:hAnsi="Century Gothic"/>
          <w:iCs/>
        </w:rPr>
        <w:t xml:space="preserve"> bornage et des plantations de délimitation. </w:t>
      </w:r>
      <w:r>
        <w:rPr>
          <w:rFonts w:ascii="Century Gothic" w:hAnsi="Century Gothic"/>
          <w:b/>
          <w:bCs/>
          <w:iCs/>
        </w:rPr>
        <w:t xml:space="preserve">La méthode </w:t>
      </w:r>
      <w:r>
        <w:rPr>
          <w:rFonts w:ascii="Century Gothic" w:hAnsi="Century Gothic"/>
          <w:bCs/>
          <w:iCs/>
        </w:rPr>
        <w:t>va reposer sur la conception des messages et leur</w:t>
      </w:r>
      <w:r>
        <w:rPr>
          <w:rFonts w:ascii="Century Gothic" w:hAnsi="Century Gothic"/>
          <w:bCs/>
        </w:rPr>
        <w:t xml:space="preserve"> validation par la commune, l’identification d’un prestataire pour la confection des panneaux et enfin leur fixation qui se feront avec l’appui du CV</w:t>
      </w:r>
      <w:r>
        <w:rPr>
          <w:rFonts w:ascii="Century Gothic" w:hAnsi="Century Gothic"/>
          <w:bCs/>
        </w:rPr>
        <w:t>D</w:t>
      </w:r>
      <w:r>
        <w:rPr>
          <w:rFonts w:ascii="Century Gothic" w:hAnsi="Century Gothic"/>
          <w:bCs/>
        </w:rPr>
        <w:t xml:space="preserve"> du village</w:t>
      </w:r>
      <w:r>
        <w:rPr>
          <w:rFonts w:ascii="Century Gothic" w:hAnsi="Century Gothic"/>
        </w:rPr>
        <w:t xml:space="preserve">. </w:t>
      </w:r>
      <w:r>
        <w:rPr>
          <w:rFonts w:ascii="Century Gothic" w:hAnsi="Century Gothic"/>
          <w:b/>
        </w:rPr>
        <w:t xml:space="preserve">Le résultat attendu </w:t>
      </w:r>
      <w:r>
        <w:rPr>
          <w:rFonts w:ascii="Century Gothic" w:hAnsi="Century Gothic"/>
        </w:rPr>
        <w:t xml:space="preserve">est que la visibilité de la forêt est renforcée et les types d’utilisation et d’interdiction sont connus. </w:t>
      </w:r>
      <w:r>
        <w:rPr>
          <w:rFonts w:ascii="Century Gothic" w:hAnsi="Century Gothic"/>
          <w:b/>
        </w:rPr>
        <w:t>L’impact</w:t>
      </w:r>
      <w:r>
        <w:rPr>
          <w:rFonts w:ascii="Century Gothic" w:hAnsi="Century Gothic"/>
          <w:b/>
          <w:i/>
        </w:rPr>
        <w:t> </w:t>
      </w:r>
      <w:r>
        <w:rPr>
          <w:rFonts w:ascii="Century Gothic" w:hAnsi="Century Gothic"/>
          <w:bCs/>
          <w:iCs/>
        </w:rPr>
        <w:t xml:space="preserve">résidera dans le niveau de réduction des infractions sur la forêt. </w:t>
      </w:r>
      <w:r>
        <w:rPr>
          <w:rFonts w:ascii="Century Gothic" w:hAnsi="Century Gothic"/>
          <w:b/>
        </w:rPr>
        <w:t>Les moyens matériels</w:t>
      </w:r>
      <w:r>
        <w:rPr>
          <w:rFonts w:ascii="Century Gothic" w:hAnsi="Century Gothic"/>
        </w:rPr>
        <w:t xml:space="preserve"> seront constitués de panneaux, de sable et ciment pour la fixation. Les trous de fixation seront 2</w:t>
      </w:r>
      <w:r>
        <w:rPr>
          <w:rFonts w:ascii="Century Gothic" w:hAnsi="Century Gothic"/>
        </w:rPr>
        <w:t xml:space="preserve">25 </w:t>
      </w:r>
      <w:r>
        <w:rPr>
          <w:rFonts w:ascii="Century Gothic" w:hAnsi="Century Gothic"/>
        </w:rPr>
        <w:t xml:space="preserve">cm² par pied de panneau soit un total de </w:t>
      </w:r>
      <w:r>
        <w:rPr>
          <w:rFonts w:ascii="Century Gothic" w:hAnsi="Century Gothic"/>
        </w:rPr>
        <w:t xml:space="preserve">450 </w:t>
      </w:r>
      <w:r>
        <w:rPr>
          <w:rFonts w:ascii="Century Gothic" w:hAnsi="Century Gothic"/>
        </w:rPr>
        <w:t xml:space="preserve">cm² par panneau. Ce qui donne un total pour les cinq panneaux de </w:t>
      </w:r>
      <w:r>
        <w:rPr>
          <w:rFonts w:ascii="Century Gothic" w:hAnsi="Century Gothic"/>
        </w:rPr>
        <w:t xml:space="preserve">900 </w:t>
      </w:r>
      <w:r>
        <w:rPr>
          <w:rFonts w:ascii="Century Gothic" w:hAnsi="Century Gothic"/>
        </w:rPr>
        <w:t>cm² (</w:t>
      </w:r>
      <w:r>
        <w:rPr>
          <w:rFonts w:ascii="Century Gothic" w:hAnsi="Century Gothic"/>
        </w:rPr>
        <w:t>0,</w:t>
      </w:r>
      <w:r>
        <w:rPr>
          <w:rFonts w:ascii="Century Gothic" w:hAnsi="Century Gothic"/>
        </w:rPr>
        <w:t>0</w:t>
      </w:r>
      <w:r>
        <w:rPr>
          <w:rFonts w:ascii="Century Gothic" w:hAnsi="Century Gothic"/>
        </w:rPr>
        <w:t xml:space="preserve">96 </w:t>
      </w:r>
      <w:r>
        <w:rPr>
          <w:rFonts w:ascii="Century Gothic" w:hAnsi="Century Gothic"/>
        </w:rPr>
        <w:t xml:space="preserve">m²). </w:t>
      </w:r>
      <w:r>
        <w:rPr>
          <w:rFonts w:ascii="Century Gothic" w:hAnsi="Century Gothic"/>
          <w:b/>
        </w:rPr>
        <w:t>Les</w:t>
      </w:r>
      <w:r>
        <w:rPr>
          <w:rFonts w:ascii="Century Gothic" w:hAnsi="Century Gothic"/>
        </w:rPr>
        <w:t xml:space="preserve"> </w:t>
      </w:r>
      <w:r>
        <w:rPr>
          <w:rFonts w:ascii="Century Gothic" w:hAnsi="Century Gothic"/>
          <w:b/>
        </w:rPr>
        <w:t xml:space="preserve">moyens humains </w:t>
      </w:r>
      <w:r>
        <w:rPr>
          <w:rFonts w:ascii="Century Gothic" w:hAnsi="Century Gothic"/>
        </w:rPr>
        <w:t xml:space="preserve">seront constitués de prestataire pour la confection des panneaux et de main d’œuvre locale pour la fixation. </w:t>
      </w:r>
      <w:r>
        <w:rPr>
          <w:rFonts w:ascii="Century Gothic" w:hAnsi="Century Gothic"/>
          <w:b/>
        </w:rPr>
        <w:t>Les moyens financiers</w:t>
      </w:r>
      <w:r>
        <w:rPr>
          <w:rFonts w:ascii="Century Gothic" w:hAnsi="Century Gothic"/>
        </w:rPr>
        <w:t xml:space="preserve"> seront constitués de frais de confection et de fixation. Ces ressources seront financées par le budget du PDIC/REDD+ de Zecco. L’organisation et la gestion de l’activité sera faite par la commune qui assure le rôle de coordination et prendra contact avec le prestataire sélectionné et le CVD de Baré.  </w:t>
      </w:r>
    </w:p>
    <w:p>
      <w:pPr>
        <w:pStyle w:val="style0"/>
        <w:tabs>
          <w:tab w:val="left" w:leader="none" w:pos="9214"/>
          <w:tab w:val="left" w:leader="none" w:pos="9639"/>
        </w:tabs>
        <w:jc w:val="both"/>
        <w:rPr>
          <w:rFonts w:ascii="Century Gothic" w:hAnsi="Century Gothic"/>
          <w:bCs/>
        </w:rPr>
      </w:pPr>
    </w:p>
    <w:bookmarkStart w:id="32" w:name="_Toc507013666"/>
    <w:bookmarkStart w:id="33" w:name="_Toc82049057"/>
    <w:p>
      <w:pPr>
        <w:pStyle w:val="style3"/>
        <w:numPr>
          <w:ilvl w:val="0"/>
          <w:numId w:val="0"/>
        </w:numPr>
        <w:ind w:left="720" w:hanging="720"/>
        <w:rPr>
          <w:rFonts w:ascii="Century Gothic" w:hAnsi="Century Gothic"/>
          <w:szCs w:val="24"/>
        </w:rPr>
      </w:pPr>
      <w:r>
        <w:rPr>
          <w:rFonts w:ascii="Century Gothic" w:hAnsi="Century Gothic"/>
          <w:szCs w:val="24"/>
        </w:rPr>
        <w:t>4</w:t>
      </w:r>
      <w:r>
        <w:rPr>
          <w:rFonts w:ascii="Century Gothic" w:hAnsi="Century Gothic"/>
          <w:szCs w:val="24"/>
        </w:rPr>
        <w:t>.4. Le suivi évaluation et la capitalisation du PDIC</w:t>
      </w:r>
      <w:bookmarkEnd w:id="32"/>
      <w:r>
        <w:rPr>
          <w:rFonts w:ascii="Century Gothic" w:hAnsi="Century Gothic"/>
          <w:szCs w:val="24"/>
        </w:rPr>
        <w:t>/REDD+ de Zecco</w:t>
      </w:r>
      <w:bookmarkEnd w:id="33"/>
    </w:p>
    <w:p>
      <w:pPr>
        <w:pStyle w:val="style0"/>
        <w:spacing w:lineRule="auto" w:line="276"/>
        <w:rPr>
          <w:rFonts w:ascii="Century Gothic" w:cs="Arial" w:hAnsi="Century Gothic"/>
        </w:rPr>
      </w:pPr>
    </w:p>
    <w:p>
      <w:pPr>
        <w:pStyle w:val="style0"/>
        <w:jc w:val="both"/>
        <w:rPr>
          <w:rFonts w:ascii="Century Gothic" w:cs="Arial" w:hAnsi="Century Gothic"/>
          <w:i/>
        </w:rPr>
      </w:pPr>
      <w:r>
        <w:rPr>
          <w:rFonts w:ascii="Century Gothic" w:cs="Arial" w:hAnsi="Century Gothic"/>
          <w:i/>
          <w:u w:val="single"/>
        </w:rPr>
        <w:t xml:space="preserve">Activité 4.4.1 Organiser l’atelier de lancement du PDIC/REDD+ de </w:t>
      </w:r>
      <w:r>
        <w:rPr>
          <w:rFonts w:ascii="Century Gothic" w:cs="Arial" w:hAnsi="Century Gothic"/>
          <w:i/>
          <w:u w:val="single"/>
        </w:rPr>
        <w:t>Zecco</w:t>
      </w:r>
    </w:p>
    <w:p>
      <w:pPr>
        <w:pStyle w:val="style0"/>
        <w:jc w:val="both"/>
        <w:rPr>
          <w:rFonts w:ascii="Century Gothic" w:cs="Arial" w:hAnsi="Century Gothic"/>
        </w:rPr>
      </w:pPr>
    </w:p>
    <w:p>
      <w:pPr>
        <w:pStyle w:val="style179"/>
        <w:tabs>
          <w:tab w:val="left" w:leader="none" w:pos="9214"/>
          <w:tab w:val="left" w:leader="none" w:pos="9639"/>
        </w:tabs>
        <w:ind w:left="0"/>
        <w:jc w:val="both"/>
        <w:rPr>
          <w:rFonts w:ascii="Century Gothic" w:hAnsi="Century Gothic"/>
        </w:rPr>
      </w:pPr>
      <w:r>
        <w:rPr>
          <w:rFonts w:ascii="Century Gothic" w:cs="Arial" w:hAnsi="Century Gothic"/>
          <w:b/>
        </w:rPr>
        <w:t xml:space="preserve">L’objectif </w:t>
      </w:r>
      <w:r>
        <w:rPr>
          <w:rFonts w:ascii="Century Gothic" w:cs="Arial" w:hAnsi="Century Gothic"/>
        </w:rPr>
        <w:t xml:space="preserve">est de permettre aux acteurs locaux de s’imprégner du contenu et de la stratégie de mise en œuvre du </w:t>
      </w:r>
      <w:r>
        <w:rPr>
          <w:rFonts w:ascii="Century Gothic" w:hAnsi="Century Gothic"/>
        </w:rPr>
        <w:t>PDIC/REDD+</w:t>
      </w:r>
      <w:r>
        <w:rPr>
          <w:rFonts w:ascii="Century Gothic" w:cs="Arial" w:hAnsi="Century Gothic"/>
        </w:rPr>
        <w:t xml:space="preserve">. </w:t>
      </w:r>
      <w:r>
        <w:rPr>
          <w:rFonts w:ascii="Century Gothic" w:cs="Arial" w:hAnsi="Century Gothic"/>
          <w:b/>
        </w:rPr>
        <w:t>La méthode</w:t>
      </w:r>
      <w:r>
        <w:rPr>
          <w:rFonts w:ascii="Century Gothic" w:cs="Arial" w:hAnsi="Century Gothic"/>
          <w:i/>
        </w:rPr>
        <w:t xml:space="preserve"> </w:t>
      </w:r>
      <w:r>
        <w:rPr>
          <w:rFonts w:ascii="Century Gothic" w:cs="Arial" w:hAnsi="Century Gothic"/>
        </w:rPr>
        <w:t>va reposer sur</w:t>
      </w:r>
      <w:r>
        <w:rPr>
          <w:rFonts w:ascii="Century Gothic" w:cs="Arial" w:hAnsi="Century Gothic"/>
          <w:i/>
        </w:rPr>
        <w:t xml:space="preserve"> </w:t>
      </w:r>
      <w:r>
        <w:rPr>
          <w:rFonts w:ascii="Century Gothic" w:cs="Arial" w:hAnsi="Century Gothic"/>
        </w:rPr>
        <w:t xml:space="preserve">l’organisation d’un atelier de lancement. Il se fera sous forme de présentation du projet ainsi que l’approche de mise en œuvre suivi d’échanges. Au total une cinquantaine de participants issus des services techniques et administratifs, du conseil municipal, des représentants des CVD et des groupes socioprofessionnels </w:t>
      </w:r>
      <w:r>
        <w:rPr>
          <w:rFonts w:ascii="Century Gothic" w:cs="Arial" w:hAnsi="Century Gothic"/>
        </w:rPr>
        <w:t xml:space="preserve">participeront à cet atelier. </w:t>
      </w:r>
      <w:r>
        <w:rPr>
          <w:rFonts w:ascii="Century Gothic" w:cs="Arial" w:hAnsi="Century Gothic"/>
          <w:b/>
        </w:rPr>
        <w:t>Le résultat attendu</w:t>
      </w:r>
      <w:r>
        <w:rPr>
          <w:rFonts w:ascii="Century Gothic" w:cs="Arial" w:hAnsi="Century Gothic"/>
        </w:rPr>
        <w:t xml:space="preserve"> est que les acteurs locaux et les décideurs sont informés sur le contenu du PDIC et sa stratégie de mise en œuvre. </w:t>
      </w:r>
      <w:r>
        <w:rPr>
          <w:rFonts w:ascii="Century Gothic" w:hAnsi="Century Gothic"/>
          <w:b/>
        </w:rPr>
        <w:t>Les moyens physiques</w:t>
      </w:r>
      <w:r>
        <w:rPr>
          <w:rFonts w:ascii="Century Gothic" w:hAnsi="Century Gothic"/>
        </w:rPr>
        <w:t xml:space="preserve"> se résumeront en matériel et fournitures des participants.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sont constitués de l’équipe des experts, du personnel de Ga Mo Wigna et des participants invités par la mairie. </w:t>
      </w:r>
      <w:r>
        <w:rPr>
          <w:rFonts w:ascii="Century Gothic" w:hAnsi="Century Gothic"/>
          <w:b/>
        </w:rPr>
        <w:t>Les moyens financiers</w:t>
      </w:r>
      <w:r>
        <w:rPr>
          <w:rFonts w:ascii="Century Gothic" w:hAnsi="Century Gothic"/>
        </w:rPr>
        <w:t xml:space="preserve"> seront constitués de frais de prise en charge et la restauration des participants. Ces ressources seront financées par le budget du PDIC/REDD+. L’organisation et la gestion de l’activité sera faite par le maire qui assure le rôle de coordination de l’activité en collaboration avec les conseillers.</w:t>
      </w:r>
    </w:p>
    <w:p>
      <w:pPr>
        <w:pStyle w:val="style0"/>
        <w:jc w:val="both"/>
        <w:rPr>
          <w:rFonts w:ascii="Century Gothic" w:cs="Arial" w:hAnsi="Century Gothic"/>
        </w:rPr>
      </w:pPr>
    </w:p>
    <w:p>
      <w:pPr>
        <w:pStyle w:val="style0"/>
        <w:jc w:val="both"/>
        <w:rPr>
          <w:rFonts w:ascii="Century Gothic" w:cs="Arial" w:hAnsi="Century Gothic"/>
          <w:i/>
          <w:u w:val="single"/>
        </w:rPr>
      </w:pPr>
      <w:r>
        <w:rPr>
          <w:rFonts w:ascii="Century Gothic" w:cs="Arial" w:hAnsi="Century Gothic"/>
          <w:i/>
          <w:u w:val="single"/>
        </w:rPr>
        <w:t xml:space="preserve">Activité 4.4.2 Suivre la mise en œuvre du PDIC/REDD+ de </w:t>
      </w:r>
      <w:r>
        <w:rPr>
          <w:rFonts w:ascii="Century Gothic" w:cs="Arial" w:hAnsi="Century Gothic"/>
          <w:i/>
          <w:u w:val="single"/>
        </w:rPr>
        <w:t>Zecco</w:t>
      </w:r>
    </w:p>
    <w:p>
      <w:pPr>
        <w:pStyle w:val="style0"/>
        <w:jc w:val="both"/>
        <w:rPr>
          <w:rFonts w:ascii="Century Gothic" w:cs="Arial"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cs="Arial" w:hAnsi="Century Gothic"/>
          <w:b/>
          <w:i/>
        </w:rPr>
        <w:t xml:space="preserve">L’objectif </w:t>
      </w:r>
      <w:r>
        <w:rPr>
          <w:rFonts w:ascii="Century Gothic" w:cs="Arial" w:hAnsi="Century Gothic"/>
        </w:rPr>
        <w:t xml:space="preserve">est d’assurer la gestion participative et transparente du PDIC. </w:t>
      </w:r>
      <w:r>
        <w:rPr>
          <w:rFonts w:ascii="Century Gothic" w:cs="Arial" w:hAnsi="Century Gothic"/>
          <w:b/>
          <w:i/>
        </w:rPr>
        <w:t>La méthode</w:t>
      </w:r>
      <w:r>
        <w:rPr>
          <w:rFonts w:ascii="Century Gothic" w:cs="Arial" w:hAnsi="Century Gothic"/>
        </w:rPr>
        <w:t xml:space="preserve"> va reposer sur l</w:t>
      </w:r>
      <w:r>
        <w:rPr>
          <w:rFonts w:ascii="Century Gothic" w:cs="Arial" w:hAnsi="Century Gothic"/>
        </w:rPr>
        <w:t xml:space="preserve">’organisation de rencontres annuelles de la commission communale mise en place à cet effet. Le suivi consistera à </w:t>
      </w:r>
      <w:r>
        <w:rPr>
          <w:rFonts w:ascii="Century Gothic" w:cs="Arial" w:hAnsi="Century Gothic"/>
        </w:rPr>
        <w:t>(i) l’adoption des plans de travail, (ii) la validation des rapports techniques et financiers</w:t>
      </w:r>
      <w:r>
        <w:rPr>
          <w:rFonts w:ascii="Century Gothic" w:cs="Arial" w:hAnsi="Century Gothic"/>
        </w:rPr>
        <w:t xml:space="preserve"> et les visites terrain pour apprécier les réalisations</w:t>
      </w:r>
      <w:r>
        <w:rPr>
          <w:rFonts w:ascii="Century Gothic" w:cs="Arial" w:hAnsi="Century Gothic"/>
        </w:rPr>
        <w:t xml:space="preserve">. </w:t>
      </w:r>
      <w:r>
        <w:rPr>
          <w:rFonts w:ascii="Century Gothic" w:cs="Arial" w:hAnsi="Century Gothic"/>
          <w:b/>
          <w:i/>
        </w:rPr>
        <w:t>Le résultat attendu</w:t>
      </w:r>
      <w:r>
        <w:rPr>
          <w:rFonts w:ascii="Century Gothic" w:cs="Arial" w:hAnsi="Century Gothic"/>
        </w:rPr>
        <w:t xml:space="preserve"> est que le PDIC</w:t>
      </w:r>
      <w:r>
        <w:rPr>
          <w:rFonts w:ascii="Century Gothic" w:cs="Arial" w:hAnsi="Century Gothic"/>
        </w:rPr>
        <w:t xml:space="preserve">/REDD+ </w:t>
      </w:r>
      <w:r>
        <w:rPr>
          <w:rFonts w:ascii="Century Gothic" w:cs="Arial" w:hAnsi="Century Gothic"/>
        </w:rPr>
        <w:t>est bien géré et les résultats régulièrement capitalisé</w:t>
      </w:r>
      <w:r>
        <w:rPr>
          <w:rFonts w:ascii="Century Gothic" w:cs="Arial" w:hAnsi="Century Gothic"/>
        </w:rPr>
        <w:t>s</w:t>
      </w:r>
      <w:r>
        <w:rPr>
          <w:rFonts w:ascii="Century Gothic" w:cs="Arial" w:hAnsi="Century Gothic"/>
        </w:rPr>
        <w:t>.</w:t>
      </w:r>
      <w:r>
        <w:rPr>
          <w:rFonts w:ascii="Century Gothic" w:cs="Arial" w:hAnsi="Century Gothic"/>
          <w:b/>
          <w:i/>
        </w:rPr>
        <w:t xml:space="preserve"> </w:t>
      </w:r>
      <w:r>
        <w:rPr>
          <w:rFonts w:ascii="Century Gothic" w:hAnsi="Century Gothic"/>
          <w:b/>
        </w:rPr>
        <w:t>Les moyens physiques</w:t>
      </w:r>
      <w:r>
        <w:rPr>
          <w:rFonts w:ascii="Century Gothic" w:hAnsi="Century Gothic"/>
        </w:rPr>
        <w:t xml:space="preserve"> se résumeront en matériel et fournitures de formation.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sont constitués des membres de la commission communale. </w:t>
      </w:r>
      <w:r>
        <w:rPr>
          <w:rFonts w:ascii="Century Gothic" w:hAnsi="Century Gothic"/>
          <w:b/>
        </w:rPr>
        <w:t>Les moyens financiers</w:t>
      </w:r>
      <w:r>
        <w:rPr>
          <w:rFonts w:ascii="Century Gothic" w:hAnsi="Century Gothic"/>
        </w:rPr>
        <w:t xml:space="preserve"> seront constitués de frais de prise en charge des membres de la commission et la restauration des participants. Ces ressources seront financées par le budget du PDIC/REDD+. L’organisation et la gestion de l’activité sera faite par le maire qui assure le rôle de coordination de l’activité en collaboration avec les membres.</w:t>
      </w:r>
      <w:r>
        <w:rPr>
          <w:rFonts w:ascii="Century Gothic" w:hAnsi="Century Gothic"/>
        </w:rPr>
        <w:t xml:space="preserve"> </w:t>
      </w:r>
    </w:p>
    <w:p>
      <w:pPr>
        <w:pStyle w:val="style179"/>
        <w:tabs>
          <w:tab w:val="left" w:leader="none" w:pos="9214"/>
          <w:tab w:val="left" w:leader="none" w:pos="9639"/>
        </w:tabs>
        <w:ind w:left="0"/>
        <w:jc w:val="both"/>
        <w:rPr>
          <w:rFonts w:ascii="Century Gothic" w:hAnsi="Century Gothic"/>
          <w:bCs/>
        </w:rPr>
      </w:pPr>
    </w:p>
    <w:p>
      <w:pPr>
        <w:pStyle w:val="style0"/>
        <w:tabs>
          <w:tab w:val="left" w:leader="none" w:pos="9214"/>
          <w:tab w:val="left" w:leader="none" w:pos="9639"/>
        </w:tabs>
        <w:jc w:val="both"/>
        <w:rPr>
          <w:rFonts w:ascii="Century Gothic" w:hAnsi="Century Gothic"/>
          <w:i/>
          <w:u w:val="single"/>
        </w:rPr>
      </w:pPr>
      <w:r>
        <w:rPr>
          <w:rFonts w:ascii="Century Gothic" w:hAnsi="Century Gothic"/>
          <w:i/>
          <w:u w:val="single"/>
        </w:rPr>
        <w:t>Activité 4.4.3</w:t>
      </w:r>
      <w:r>
        <w:rPr>
          <w:rFonts w:ascii="Century Gothic" w:hAnsi="Century Gothic"/>
          <w:bCs/>
          <w:i/>
          <w:u w:val="single"/>
        </w:rPr>
        <w:t>. M</w:t>
      </w:r>
      <w:r>
        <w:rPr>
          <w:rFonts w:ascii="Century Gothic" w:hAnsi="Century Gothic"/>
          <w:i/>
          <w:u w:val="single"/>
        </w:rPr>
        <w:t xml:space="preserve">ettre en œuvre des mesures de sauvegarde environnementales et sociales du PDIC/REDD+ </w:t>
      </w:r>
      <w:r>
        <w:rPr>
          <w:rFonts w:ascii="Century Gothic" w:cs="Arial" w:hAnsi="Century Gothic"/>
          <w:i/>
          <w:u w:val="single"/>
        </w:rPr>
        <w:t xml:space="preserve">de </w:t>
      </w:r>
      <w:r>
        <w:rPr>
          <w:rFonts w:ascii="Century Gothic" w:cs="Arial" w:hAnsi="Century Gothic"/>
          <w:i/>
          <w:u w:val="single"/>
        </w:rPr>
        <w:t>Zecco</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La mise en œuvre du PDIC/REDD+ de </w:t>
      </w:r>
      <w:r>
        <w:rPr>
          <w:rFonts w:ascii="Century Gothic" w:hAnsi="Century Gothic"/>
        </w:rPr>
        <w:t>Zecco</w:t>
      </w:r>
      <w:r>
        <w:rPr>
          <w:rFonts w:ascii="Century Gothic" w:hAnsi="Century Gothic"/>
        </w:rPr>
        <w:t xml:space="preserve"> aura des impacts négatifs ou positifs qui mériteraient attention particulière. </w:t>
      </w:r>
      <w:r>
        <w:rPr>
          <w:rFonts w:ascii="Century Gothic" w:hAnsi="Century Gothic"/>
          <w:b/>
        </w:rPr>
        <w:t>L’objectif</w:t>
      </w:r>
      <w:r>
        <w:rPr>
          <w:rFonts w:ascii="Century Gothic" w:hAnsi="Century Gothic"/>
          <w:b/>
          <w:i/>
        </w:rPr>
        <w:t xml:space="preserve"> </w:t>
      </w:r>
      <w:r>
        <w:rPr>
          <w:rFonts w:ascii="Century Gothic" w:hAnsi="Century Gothic"/>
        </w:rPr>
        <w:t xml:space="preserve">de cette activité est de renforcer la prise en compte des mesures de sauvegarde environnementales et sociales dans la mise en œuvre du PDIC/REDD+. Il s’agira de prendre ou de s’assurer qu’un certain nombre de dispositions sont mises en place (gestion des déchets, sécurité et santé des personnes lors des travaux, prise en comptes des personnes vulnérables et du genre, etc.) dans la planification et la mise en œuvre des activités. </w:t>
      </w:r>
      <w:r>
        <w:rPr>
          <w:rFonts w:ascii="Century Gothic" w:hAnsi="Century Gothic"/>
          <w:b/>
        </w:rPr>
        <w:t>La méthode</w:t>
      </w:r>
      <w:r>
        <w:rPr>
          <w:rFonts w:ascii="Century Gothic" w:hAnsi="Century Gothic"/>
        </w:rPr>
        <w:t xml:space="preserve"> va reposer sur la responsabilisation d’un point focal « sauvegarde environnementale et social</w:t>
      </w:r>
      <w:r>
        <w:rPr>
          <w:rFonts w:ascii="Century Gothic" w:hAnsi="Century Gothic"/>
        </w:rPr>
        <w:t>e</w:t>
      </w:r>
      <w:r>
        <w:rPr>
          <w:rFonts w:ascii="Century Gothic" w:hAnsi="Century Gothic"/>
        </w:rPr>
        <w:t xml:space="preserve"> du PDIC/REDD+ au niveau de l’association Ga Mo Wigna. Celui-ci bénéficiera d’une formation spécifique pour pouvoir assurer le suivi conseil de proximité de la mise en œuvre des activités de sorte à ce que les impacts positifs soient bonifiés et les impacts négatifs soient atténués sur l’environnement et sur les Hommes. </w:t>
      </w:r>
      <w:r>
        <w:rPr>
          <w:rFonts w:ascii="Century Gothic" w:hAnsi="Century Gothic"/>
          <w:b/>
        </w:rPr>
        <w:t>Les moyens humains</w:t>
      </w:r>
      <w:r>
        <w:rPr>
          <w:rFonts w:ascii="Century Gothic" w:hAnsi="Century Gothic"/>
        </w:rPr>
        <w:t xml:space="preserve"> sont constitués d’un expert </w:t>
      </w:r>
      <w:r>
        <w:rPr>
          <w:rFonts w:ascii="Century Gothic" w:hAnsi="Century Gothic"/>
        </w:rPr>
        <w:t>qui est</w:t>
      </w:r>
      <w:r>
        <w:rPr>
          <w:rFonts w:ascii="Century Gothic" w:hAnsi="Century Gothic"/>
        </w:rPr>
        <w:t xml:space="preserve"> point focal sauvegarde de Ga Mo Wigna avec l’appui de personnes ressources pour donner les conseils spécifiques à la mairie et aux prestataires de certains travaux. </w:t>
      </w:r>
      <w:r>
        <w:rPr>
          <w:rFonts w:ascii="Century Gothic" w:hAnsi="Century Gothic"/>
          <w:b/>
        </w:rPr>
        <w:t>Les moyens financiers</w:t>
      </w:r>
      <w:r>
        <w:rPr>
          <w:rFonts w:ascii="Century Gothic" w:hAnsi="Century Gothic"/>
        </w:rPr>
        <w:t xml:space="preserve"> sont mobilisés dans la composante contribution financière de l’association Ga Mo Wigna au budget du PDIC/REDD+ de </w:t>
      </w:r>
      <w:r>
        <w:rPr>
          <w:rFonts w:ascii="Century Gothic" w:hAnsi="Century Gothic"/>
        </w:rPr>
        <w:t>Zecco</w:t>
      </w:r>
      <w:r>
        <w:rPr>
          <w:rFonts w:ascii="Century Gothic" w:hAnsi="Century Gothic"/>
        </w:rPr>
        <w:t>.</w:t>
      </w:r>
    </w:p>
    <w:p>
      <w:pPr>
        <w:pStyle w:val="style0"/>
        <w:spacing w:after="160" w:lineRule="auto" w:line="259"/>
        <w:rPr>
          <w:rFonts w:ascii="Century Gothic" w:cs="Arial" w:hAnsi="Century Gothic"/>
          <w:b/>
          <w:u w:val="single"/>
        </w:rPr>
      </w:pPr>
      <w:r>
        <w:rPr>
          <w:rFonts w:ascii="Century Gothic" w:cs="Arial" w:hAnsi="Century Gothic"/>
          <w:b/>
          <w:u w:val="single"/>
        </w:rPr>
        <w:br w:type="page"/>
      </w:r>
    </w:p>
    <w:p>
      <w:pPr>
        <w:pStyle w:val="style0"/>
        <w:jc w:val="both"/>
        <w:rPr>
          <w:rFonts w:ascii="Century Gothic" w:cs="Arial" w:hAnsi="Century Gothic"/>
          <w:b/>
          <w:u w:val="single"/>
        </w:rPr>
      </w:pPr>
    </w:p>
    <w:p>
      <w:pPr>
        <w:pStyle w:val="style0"/>
        <w:jc w:val="both"/>
        <w:rPr>
          <w:rFonts w:ascii="Century Gothic" w:cs="Arial" w:hAnsi="Century Gothic"/>
          <w:i/>
          <w:u w:val="single"/>
        </w:rPr>
      </w:pPr>
      <w:r>
        <w:rPr>
          <w:rFonts w:ascii="Century Gothic" w:cs="Arial" w:hAnsi="Century Gothic"/>
          <w:i/>
          <w:u w:val="single"/>
        </w:rPr>
        <w:t xml:space="preserve">Activité 4.4.4 Organiser l’atelier de capitalisation du PDIC/REDD+ de </w:t>
      </w:r>
      <w:r>
        <w:rPr>
          <w:rFonts w:ascii="Century Gothic" w:cs="Arial" w:hAnsi="Century Gothic"/>
          <w:i/>
          <w:u w:val="single"/>
        </w:rPr>
        <w:t>Zecco</w:t>
      </w:r>
    </w:p>
    <w:p>
      <w:pPr>
        <w:pStyle w:val="style0"/>
        <w:jc w:val="both"/>
        <w:rPr>
          <w:rFonts w:ascii="Century Gothic" w:cs="Arial"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cs="Arial" w:hAnsi="Century Gothic"/>
          <w:b/>
          <w:i/>
        </w:rPr>
        <w:t>L’objectif</w:t>
      </w:r>
      <w:r>
        <w:rPr>
          <w:rFonts w:ascii="Century Gothic" w:cs="Arial" w:hAnsi="Century Gothic"/>
        </w:rPr>
        <w:t xml:space="preserve"> visé est de diffuser largement les leçons et les résultats obtenus de la mise en œuvre du PDIC</w:t>
      </w:r>
      <w:r>
        <w:rPr>
          <w:rFonts w:ascii="Century Gothic" w:cs="Arial" w:hAnsi="Century Gothic"/>
        </w:rPr>
        <w:t>/REDD+ de Zecco</w:t>
      </w:r>
      <w:r>
        <w:rPr>
          <w:rFonts w:ascii="Century Gothic" w:cs="Arial" w:hAnsi="Century Gothic"/>
        </w:rPr>
        <w:t xml:space="preserve">. </w:t>
      </w:r>
      <w:r>
        <w:rPr>
          <w:rFonts w:ascii="Century Gothic" w:cs="Arial" w:hAnsi="Century Gothic"/>
          <w:b/>
          <w:i/>
        </w:rPr>
        <w:t xml:space="preserve">La méthode </w:t>
      </w:r>
      <w:r>
        <w:rPr>
          <w:rFonts w:ascii="Century Gothic" w:cs="Arial" w:hAnsi="Century Gothic"/>
        </w:rPr>
        <w:t xml:space="preserve">va reposer sur l’élaboration des TDR, l’identification et l’invitation des participants. L’atelier se fera sous forme de présentation des résultats </w:t>
      </w:r>
      <w:r>
        <w:rPr>
          <w:rFonts w:ascii="Century Gothic" w:cs="Arial" w:hAnsi="Century Gothic"/>
        </w:rPr>
        <w:t>et enseignements tirés de la mise en œuvre du PDIC</w:t>
      </w:r>
      <w:r>
        <w:rPr>
          <w:rFonts w:ascii="Century Gothic" w:cs="Arial" w:hAnsi="Century Gothic"/>
        </w:rPr>
        <w:t xml:space="preserve"> suivi d’échanges. </w:t>
      </w:r>
      <w:r>
        <w:rPr>
          <w:rFonts w:ascii="Century Gothic" w:cs="Arial" w:hAnsi="Century Gothic"/>
          <w:b/>
          <w:i/>
        </w:rPr>
        <w:t>Le résultat attendu</w:t>
      </w:r>
      <w:r>
        <w:rPr>
          <w:rFonts w:ascii="Century Gothic" w:cs="Arial" w:hAnsi="Century Gothic"/>
        </w:rPr>
        <w:t xml:space="preserve"> est que les acquis et les points à améliorer de la mise en œuvre du PDIC</w:t>
      </w:r>
      <w:r>
        <w:rPr>
          <w:rFonts w:ascii="Century Gothic" w:cs="Arial" w:hAnsi="Century Gothic"/>
        </w:rPr>
        <w:t>/REDD+ de Zecco</w:t>
      </w:r>
      <w:r>
        <w:rPr>
          <w:rFonts w:ascii="Century Gothic" w:cs="Arial" w:hAnsi="Century Gothic"/>
        </w:rPr>
        <w:t xml:space="preserve"> sont identifiés et largement diffusés. </w:t>
      </w:r>
      <w:r>
        <w:rPr>
          <w:rFonts w:ascii="Century Gothic" w:hAnsi="Century Gothic"/>
          <w:b/>
        </w:rPr>
        <w:t>Les moyens physiques</w:t>
      </w:r>
      <w:r>
        <w:rPr>
          <w:rFonts w:ascii="Century Gothic" w:hAnsi="Century Gothic"/>
        </w:rPr>
        <w:t xml:space="preserve"> se résumeront en matériel et fournitures des participants.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sont constitués de l’équipe des experts, du personnel de Ga Mo Wigna et des participants invités par la mairie. </w:t>
      </w:r>
      <w:r>
        <w:rPr>
          <w:rFonts w:ascii="Century Gothic" w:hAnsi="Century Gothic"/>
          <w:b/>
        </w:rPr>
        <w:t>Les moyens financiers</w:t>
      </w:r>
      <w:r>
        <w:rPr>
          <w:rFonts w:ascii="Century Gothic" w:hAnsi="Century Gothic"/>
        </w:rPr>
        <w:t xml:space="preserve"> seront constitués de frais de prise en charge et la restauration des participants. Ces ressources seront financées par le budget du PDIC/REDD+ de </w:t>
      </w:r>
      <w:r>
        <w:rPr>
          <w:rFonts w:ascii="Century Gothic" w:hAnsi="Century Gothic"/>
        </w:rPr>
        <w:t>Zecco</w:t>
      </w:r>
      <w:r>
        <w:rPr>
          <w:rFonts w:ascii="Century Gothic" w:hAnsi="Century Gothic"/>
        </w:rPr>
        <w:t>. L’organisation et la gestion de l’activité sera faite par le maire qui assure le rôle de coordination de l’activité en collaboration avec les conseillers.</w:t>
      </w:r>
    </w:p>
    <w:p>
      <w:pPr>
        <w:pStyle w:val="style0"/>
        <w:tabs>
          <w:tab w:val="left" w:leader="none" w:pos="9214"/>
          <w:tab w:val="left" w:leader="none" w:pos="9639"/>
        </w:tabs>
        <w:jc w:val="both"/>
        <w:rPr>
          <w:rFonts w:ascii="Century Gothic" w:hAnsi="Century Gothic"/>
          <w:bCs/>
        </w:rPr>
      </w:pPr>
    </w:p>
    <w:bookmarkStart w:id="34" w:name="_Toc82049058"/>
    <w:p>
      <w:pPr>
        <w:pStyle w:val="style1"/>
        <w:numPr>
          <w:ilvl w:val="0"/>
          <w:numId w:val="0"/>
        </w:numPr>
        <w:tabs>
          <w:tab w:val="left" w:leader="none" w:pos="9214"/>
          <w:tab w:val="left" w:leader="none" w:pos="9639"/>
        </w:tabs>
        <w:spacing w:before="0" w:after="0"/>
        <w:rPr>
          <w:rFonts w:ascii="Century Gothic" w:hAnsi="Century Gothic"/>
          <w:i/>
          <w:sz w:val="24"/>
          <w:szCs w:val="24"/>
          <w:u w:val="single"/>
        </w:rPr>
      </w:pPr>
      <w:r>
        <w:rPr>
          <w:rFonts w:ascii="Century Gothic" w:hAnsi="Century Gothic"/>
          <w:sz w:val="24"/>
          <w:szCs w:val="24"/>
          <w:u w:val="single"/>
        </w:rPr>
        <w:t>4.</w:t>
      </w:r>
      <w:r>
        <w:rPr>
          <w:rFonts w:ascii="Century Gothic" w:hAnsi="Century Gothic"/>
          <w:sz w:val="24"/>
          <w:szCs w:val="24"/>
          <w:u w:val="single"/>
        </w:rPr>
        <w:t>5</w:t>
      </w:r>
      <w:r>
        <w:rPr>
          <w:rFonts w:ascii="Century Gothic" w:hAnsi="Century Gothic"/>
          <w:sz w:val="24"/>
          <w:szCs w:val="24"/>
          <w:u w:val="single"/>
        </w:rPr>
        <w:t>. Budget détaillé du PDIC REDD+</w:t>
      </w:r>
      <w:bookmarkEnd w:id="34"/>
    </w:p>
    <w:p>
      <w:pPr>
        <w:pStyle w:val="style34"/>
        <w:rPr>
          <w:rFonts w:ascii="Century Gothic" w:hAnsi="Century Gothic"/>
          <w:color w:val="auto"/>
          <w:sz w:val="20"/>
          <w:szCs w:val="20"/>
        </w:rPr>
      </w:pPr>
    </w:p>
    <w:bookmarkStart w:id="35" w:name="_Toc82049141"/>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III</w:t>
      </w:r>
      <w:r>
        <w:rPr>
          <w:rFonts w:ascii="Century Gothic" w:hAnsi="Century Gothic"/>
          <w:color w:val="auto"/>
          <w:sz w:val="22"/>
          <w:szCs w:val="22"/>
        </w:rPr>
        <w:fldChar w:fldCharType="end"/>
      </w:r>
      <w:r>
        <w:rPr>
          <w:rFonts w:ascii="Century Gothic" w:hAnsi="Century Gothic"/>
          <w:color w:val="auto"/>
          <w:sz w:val="22"/>
          <w:szCs w:val="22"/>
        </w:rPr>
        <w:t>: Budget estimatif du PDIC/REDD+</w:t>
      </w:r>
      <w:bookmarkEnd w:id="35"/>
    </w:p>
    <w:tbl>
      <w:tblPr>
        <w:tblW w:w="9781" w:type="dxa"/>
        <w:tblInd w:w="-5" w:type="dxa"/>
        <w:tblLayout w:type="fixed"/>
        <w:tblCellMar>
          <w:left w:w="70" w:type="dxa"/>
          <w:right w:w="70" w:type="dxa"/>
        </w:tblCellMar>
        <w:tblLook w:val="04A0" w:firstRow="1" w:lastRow="0" w:firstColumn="1" w:lastColumn="0" w:noHBand="0" w:noVBand="1"/>
      </w:tblPr>
      <w:tblGrid>
        <w:gridCol w:w="3402"/>
        <w:gridCol w:w="1134"/>
        <w:gridCol w:w="1276"/>
        <w:gridCol w:w="851"/>
        <w:gridCol w:w="1134"/>
        <w:gridCol w:w="992"/>
        <w:gridCol w:w="992"/>
      </w:tblGrid>
      <w:tr>
        <w:trPr>
          <w:gridAfter w:val="1"/>
          <w:wAfter w:w="992" w:type="dxa"/>
          <w:trHeight w:val="600" w:hRule="atLeast"/>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DEPENSES PAR ACTIVITES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UINITES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QUANTITE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COUT TOTAL (F CFA)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SOURCES DE FINANCEMENT</w:t>
            </w:r>
          </w:p>
        </w:tc>
      </w:tr>
      <w:tr>
        <w:tblPrEx/>
        <w:trPr>
          <w:trHeight w:val="600" w:hRule="atLeast"/>
          <w:tblHeader/>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PDIC/REDD+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Bénéficiaires (mairie et populations)</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ffff00"/>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ESPACE DE CONSERVATION DE GONRE</w:t>
            </w:r>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851"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6"/>
                <w:szCs w:val="16"/>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6"/>
                <w:szCs w:val="16"/>
              </w:rPr>
            </w:pPr>
          </w:p>
        </w:tc>
      </w:tr>
      <w:tr>
        <w:tblPrEx/>
        <w:trPr>
          <w:trHeight w:val="600" w:hRule="atLeast"/>
        </w:trPr>
        <w:tc>
          <w:tcPr>
            <w:tcW w:w="7797" w:type="dxa"/>
            <w:gridSpan w:val="5"/>
            <w:tcBorders>
              <w:top w:val="single" w:sz="4" w:space="0" w:color="auto"/>
              <w:left w:val="single" w:sz="4" w:space="0" w:color="auto"/>
              <w:bottom w:val="single" w:sz="4" w:space="0" w:color="auto"/>
              <w:right w:val="single" w:sz="4" w:space="0" w:color="auto"/>
            </w:tcBorders>
            <w:shd w:val="clear" w:color="000000" w:fill="00ffff"/>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     Activités directement liée à la réduction des émissions de gaz à effet de serre dans la forêt de Gonré</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p>
        </w:tc>
      </w:tr>
      <w:tr>
        <w:tblPrEx/>
        <w:trPr>
          <w:trHeight w:val="600" w:hRule="atLeast"/>
        </w:trPr>
        <w:tc>
          <w:tcPr>
            <w:tcW w:w="3402" w:type="dxa"/>
            <w:tcBorders>
              <w:top w:val="single" w:sz="4" w:space="0" w:color="auto"/>
              <w:left w:val="single" w:sz="4" w:space="0" w:color="auto"/>
              <w:bottom w:val="single" w:sz="4" w:space="0" w:color="auto"/>
              <w:right w:val="nil"/>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Activité 4.1.2.1.1. Aménager et gérer durablement la forêt villageoise de Gonré (33,79 hectares)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r>
      <w:tr>
        <w:tblPrEx/>
        <w:trPr>
          <w:trHeight w:val="600" w:hRule="atLeast"/>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4.1.2.1.1.1. Appuyer la production des plants dans l’espace de conservation de Gonré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Formation des pépiniéristes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Acquisition du matériel de pépinière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Organisation de la production des plants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Campagne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Suivi de la production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Campagne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4.1.2.1.1.2. Réaliser des plantations d’enrichissement/délimitation de la forêt de Gonré</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pPr>
              <w:pStyle w:val="style0"/>
              <w:jc w:val="both"/>
              <w:rPr>
                <w:rFonts w:ascii="Century Gothic" w:cs="Calibri" w:hAnsi="Century Gothic"/>
                <w:b/>
                <w:bCs/>
                <w:i/>
                <w:iCs/>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rPr>
                <w:rFonts w:ascii="Century Gothic" w:hAnsi="Century Gothic"/>
                <w:sz w:val="16"/>
                <w:szCs w:val="16"/>
              </w:rPr>
            </w:pP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pPr>
              <w:pStyle w:val="style0"/>
              <w:jc w:val="center"/>
              <w:rPr>
                <w:rFonts w:ascii="Century Gothic" w:hAnsi="Century Gothic"/>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134"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Achat des plants pour la matérialisation des limites et l'enrichissement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13950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1 395 000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1 395 000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Trouaison, plantation et entretien des arbres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13950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2 790 000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2 790 000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4.1.2.1.1.3.  Réaliser des plantations individuelles dans les villages riverains dans l’espace de conservation de Gonré</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pPr>
              <w:pStyle w:val="style0"/>
              <w:jc w:val="both"/>
              <w:rPr>
                <w:rFonts w:ascii="Century Gothic" w:cs="Calibri" w:hAnsi="Century Gothic"/>
                <w:b/>
                <w:bCs/>
                <w:i/>
                <w:iCs/>
                <w:color w:val="000000"/>
                <w:sz w:val="16"/>
                <w:szCs w:val="16"/>
              </w:rPr>
            </w:pPr>
          </w:p>
        </w:tc>
        <w:tc>
          <w:tcPr>
            <w:tcW w:w="1276" w:type="dxa"/>
            <w:tcBorders>
              <w:top w:val="single" w:sz="4" w:space="0" w:color="auto"/>
              <w:left w:val="single" w:sz="4" w:space="0" w:color="auto"/>
              <w:bottom w:val="single" w:sz="4" w:space="0" w:color="auto"/>
              <w:right w:val="nil"/>
            </w:tcBorders>
            <w:shd w:val="clear" w:color="auto" w:fill="auto"/>
            <w:noWrap/>
            <w:vAlign w:val="bottom"/>
            <w:hideMark/>
          </w:tcPr>
          <w:p>
            <w:pPr>
              <w:pStyle w:val="style0"/>
              <w:rPr>
                <w:rFonts w:ascii="Century Gothic" w:hAnsi="Century Gothic"/>
                <w:sz w:val="16"/>
                <w:szCs w:val="16"/>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Achat des plants pour les plantation</w:t>
            </w:r>
            <w:r>
              <w:rPr>
                <w:rFonts w:ascii="Century Gothic" w:cs="Calibri" w:hAnsi="Century Gothic"/>
                <w:sz w:val="16"/>
                <w:szCs w:val="16"/>
              </w:rPr>
              <w:t xml:space="preserve">s </w:t>
            </w:r>
            <w:r>
              <w:rPr>
                <w:rFonts w:ascii="Century Gothic" w:cs="Calibri" w:hAnsi="Century Gothic"/>
                <w:sz w:val="16"/>
                <w:szCs w:val="16"/>
              </w:rPr>
              <w:t>individuelles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45000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4 500 000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 xml:space="preserve">Trouaison, plantation et entretien des arbres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45000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9 000 000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9 000 000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Sous-Activité 4.1.2.1.1.4. Mettre en place un comité villageois de gestion de la forêt villageoise de Gonré. </w:t>
            </w:r>
          </w:p>
        </w:tc>
        <w:tc>
          <w:tcPr>
            <w:tcW w:w="1134" w:type="dxa"/>
            <w:tcBorders>
              <w:top w:val="nil"/>
              <w:left w:val="nil"/>
              <w:bottom w:val="nil"/>
              <w:right w:val="nil"/>
            </w:tcBorders>
            <w:shd w:val="clear" w:color="auto" w:fill="auto"/>
            <w:noWrap/>
            <w:vAlign w:val="bottom"/>
            <w:hideMark/>
          </w:tcPr>
          <w:p>
            <w:pPr>
              <w:pStyle w:val="style0"/>
              <w:jc w:val="both"/>
              <w:rPr>
                <w:rFonts w:ascii="Century Gothic" w:cs="Calibri" w:hAnsi="Century Gothic"/>
                <w:b/>
                <w:bCs/>
                <w:i/>
                <w:iCs/>
                <w:color w:val="000000"/>
                <w:sz w:val="16"/>
                <w:szCs w:val="16"/>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82"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Organisation de séances d'information et de sensibilisation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Organiser de l’AG constitutive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Recherche de reconnaissance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264"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Sous-Activité 4.1.2.1.1.5. Former/ recycler 07 membres (06H et 01 F) du comité de gestion / suivi de la charte sur leurs attributions dans l’espace de conservation de Gonré.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Honoraire formateur 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Honoraire formateur 2</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Location salle (2 jours)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Matériel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Prise en charge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Suivi des formations par le service agriculture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bookmarkStart w:id="36" w:name="RANGE!A30"/>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4.1.2.1.1.6. Elaborer une charte locale de foncière de la forêt de Gonré</w:t>
            </w:r>
            <w:bookmarkEnd w:id="36"/>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Honoraire de l'expert foncier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Frais de rafraîchissement des rencontres villageoise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Prise en charge des Services techniques et maire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4.1.2.1.1.7. Réaliser le bornage de la forêt villageoise de Gonré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Confection des bornes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24</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Fixation des bornes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24</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Sous-Activité 4.1.2.1.1.8. Confectionner et fixer cinq (5) de panneaux d'information et de sensibilisation sur la forêt de Gonré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Confection des panneaux</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Fixation des panneaux</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Sous-total Résultat 1: séquestration du carbone Gonré</w:t>
            </w: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29 325 000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17 535 000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11 790 000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000000" w:fill="00ffff"/>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2 Activités induites d’amélioration des productivités et des revenus dans l’espace de conservation de Gonré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Activité 4.1.2.2.1. Appuyer 100 producteurs à la production et à l’utilisation du compost dans l’espace de conservation de Gonré (Gonré et zenko-yarcé)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Doter les producteurs en pelles pour la production de la fumure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Doter les producteurs en Burkina Phosphate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8 000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Mobilisation des agrégats (paille, résidus agricole, fumier)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Tas</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1 000 000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Frais de suivi et de supervision des services techniques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55"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Activité 4.1.2.2.2. Appuyer 100 producteurs la fauche et conservation du fourrage naturel dans les villages riverains de l‘espace de conservation de Gonré (Gonré et zenko-yarcé)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Matériel pour la fauche (botteleuses et faucilles)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Construction des fenils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Appui à la  construction fenils (appui avec 10 tôles chevrons/producteurs)</w:t>
            </w:r>
            <w:r>
              <w:rPr>
                <w:rFonts w:ascii="Century Gothic" w:cs="Calibri" w:hAnsi="Century Gothic"/>
                <w:color w:val="000000"/>
                <w:sz w:val="16"/>
                <w:szCs w:val="16"/>
              </w:rPr>
              <w:t xml:space="preserve"> </w:t>
            </w:r>
            <w:r>
              <w:rPr>
                <w:rFonts w:ascii="Century Gothic" w:cs="Calibri" w:hAnsi="Century Gothic"/>
                <w:color w:val="000000"/>
                <w:sz w:val="16"/>
                <w:szCs w:val="16"/>
              </w:rPr>
              <w:t>+ transport</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Frais suivi et de supervision des services techniques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Activité 4.1.2.2.3. Appuyer l’apiculture moderne au profit de 20 jeunes et femmes dans l’espace de conservation de Gonré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Doter les apiculteurs en kits de matériels apicole (ruches, gants, abreuvoirs, etc</w:t>
            </w:r>
            <w:r>
              <w:rPr>
                <w:rFonts w:ascii="Century Gothic" w:cs="Calibri" w:hAnsi="Century Gothic"/>
                <w:i/>
                <w:iCs/>
                <w:color w:val="000000"/>
                <w:sz w:val="16"/>
                <w:szCs w:val="16"/>
              </w:rPr>
              <w:t>.</w:t>
            </w:r>
            <w:r>
              <w:rPr>
                <w:rFonts w:ascii="Century Gothic" w:cs="Calibri" w:hAnsi="Century Gothic"/>
                <w:i/>
                <w:iCs/>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2 250 000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2 250 000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Frais de transport du matériel</w:t>
            </w:r>
            <w:r>
              <w:rPr>
                <w:rFonts w:ascii="Century Gothic" w:cs="Calibri" w:hAnsi="Century Gothic"/>
                <w:i/>
                <w:iCs/>
                <w:color w:val="000000"/>
                <w:sz w:val="16"/>
                <w:szCs w:val="16"/>
              </w:rPr>
              <w:t xml:space="preserve"> apicole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Suivi et appui conseil de l'expert en apiculture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1 125 000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1 125 000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900" w:hRule="atLeast"/>
        </w:trPr>
        <w:tc>
          <w:tcPr>
            <w:tcW w:w="3402" w:type="dxa"/>
            <w:tcBorders>
              <w:top w:val="single" w:sz="4" w:space="0" w:color="auto"/>
              <w:left w:val="single" w:sz="4" w:space="0" w:color="auto"/>
              <w:bottom w:val="single" w:sz="4" w:space="0" w:color="auto"/>
              <w:right w:val="nil"/>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4.1.2.2.4. Mettre en place un périmètre maraîcher au profit de la coopérative féminine Song Taaba Maboltenga de Gonré</w:t>
            </w:r>
            <w:r>
              <w:rPr>
                <w:rFonts w:ascii="Century Gothic" w:cs="Calibri" w:hAnsi="Century Gothic"/>
                <w:b/>
                <w:bCs/>
                <w:color w:val="000000"/>
                <w:sz w:val="16"/>
                <w:szCs w:val="16"/>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52" w:hRule="atLeas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Appui à l’obtention d’une attestation de Possession Foncière (APFR) du site pour la coopérative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Acquisition de plants et reboisement sous forme de haie,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800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Réalisation de haies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Construire d'une latrine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Clôture du site avec 400 m de grillage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Réalisation de planches de production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Réalisation d’un forage positif</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Equipement du forage d'un système de pompage avec module solaire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2 000 000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Réalisation de 5 bassins de stockages d'eau (10m²)</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Raccordement du forage aux bassins de stockage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Sous-total Résultat 2:amélioration des revenus  Gonré</w:t>
            </w: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34 565 000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28 065 000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6 500 000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000000" w:fill="00ffff"/>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3. Activités de renforcement des capacités d’adaptation aux activités et responsabilités dans l’espace de conservation de Gonré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4.1.2.3.1 : Former 30 élus locaux et leaders villageois de la commune de Zecco sur la gouvernance locale et en législations environnementales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72"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Prise en charge des participants (30personnesX3jrs)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90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90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270 000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270 000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Location de salle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4.1.2.3.2 : Organiser onze (11) séances d'information et de sensibilisation sur la sécurisation foncière dans la commune de Zecco</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Prise en charge des animateurs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Frais de rafraîchissement lors des rencontres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rencontre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73"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4.1.2.3.3. Former 200 producteurs en technique de plantation et entretien des espèces végétales dans l’espace de conservation de Gonré (Gonré et zenko-yarcé)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Activité 4.1.2.3.4. Former 100 producteurs à la production et à l’utilisation du compost dans l’espace de conservation de Gonré: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92"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4.1.2.3.5. Former 100 producteurs en technique de fauche et de conservation de fourrage naturel dans l’espace de conservation de Gonré.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1 200 000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72"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4.1.2.3.6. Former 20 producteurs en techniques apicoles modernes dans l’espace de conservation de Gonré.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1 200 000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single" w:sz="4" w:space="0" w:color="auto"/>
              <w:left w:val="single" w:sz="4" w:space="0" w:color="auto"/>
              <w:bottom w:val="single" w:sz="4" w:space="0" w:color="auto"/>
              <w:right w:val="nil"/>
            </w:tcBorders>
            <w:shd w:val="clear" w:color="auto" w:fill="auto"/>
            <w:vAlign w:val="bottom"/>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Activité 4.1.2.3.7. Former 30 membres du groupement féminin Song Taaba Maboltenga en techniques de production maraîchère de Gonré.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Sous total Capacité</w:t>
            </w: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12 170 000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12 020 000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150 000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bdd7ee"/>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ESPACE DE CONSERVATION DE GONRE</w:t>
            </w: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76 060 000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57 620 000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18 440 000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000000" w:fill="ffff00"/>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ESPACE DE CONSERVATION DE DE LA FORET COMMUNALE DE ZECCO</w:t>
            </w:r>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851"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6"/>
                <w:szCs w:val="16"/>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6"/>
                <w:szCs w:val="16"/>
              </w:rPr>
            </w:pPr>
          </w:p>
        </w:tc>
      </w:tr>
      <w:tr>
        <w:tblPrEx/>
        <w:trPr>
          <w:trHeight w:val="58" w:hRule="atLeast"/>
        </w:trPr>
        <w:tc>
          <w:tcPr>
            <w:tcW w:w="7797" w:type="dxa"/>
            <w:gridSpan w:val="5"/>
            <w:tcBorders>
              <w:top w:val="single" w:sz="4" w:space="0" w:color="auto"/>
              <w:left w:val="single" w:sz="4" w:space="0" w:color="auto"/>
              <w:bottom w:val="single" w:sz="4" w:space="0" w:color="auto"/>
              <w:right w:val="single" w:sz="4" w:space="0" w:color="auto"/>
            </w:tcBorders>
            <w:shd w:val="clear" w:color="000000" w:fill="00ffff"/>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     Activités directement liée à la réduction des émissions de gaz à effet de serre dans l'espace de conservation de Zecco</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4.1.2.1.1. Aménager et gérer durablement la forêt communale de Zecco (28,32 hectares)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Sous-Activité 4.1.2.1.1.1. Réaliser des plantations d’enrichissement/délimitation de la forêt de Zecco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Achat des plants pour la matérialisation des limites et l'enrichissement</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000000" w:fill="ffffff"/>
            <w:vAlign w:val="center"/>
            <w:hideMark/>
          </w:tcPr>
          <w:p>
            <w:pPr>
              <w:pStyle w:val="style0"/>
              <w:jc w:val="center"/>
              <w:rPr>
                <w:rFonts w:ascii="Century Gothic" w:cs="Calibri" w:hAnsi="Century Gothic"/>
                <w:sz w:val="16"/>
                <w:szCs w:val="16"/>
              </w:rPr>
            </w:pPr>
            <w:r>
              <w:rPr>
                <w:rFonts w:ascii="Century Gothic" w:cs="Calibri" w:hAnsi="Century Gothic"/>
                <w:sz w:val="16"/>
                <w:szCs w:val="16"/>
              </w:rPr>
              <w:t>13125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1 312 500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1 312 500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 xml:space="preserve">Trouaison, plantation et entretien des arbres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000000" w:fill="ffffff"/>
            <w:vAlign w:val="center"/>
            <w:hideMark/>
          </w:tcPr>
          <w:p>
            <w:pPr>
              <w:pStyle w:val="style0"/>
              <w:jc w:val="center"/>
              <w:rPr>
                <w:rFonts w:ascii="Century Gothic" w:cs="Calibri" w:hAnsi="Century Gothic"/>
                <w:sz w:val="16"/>
                <w:szCs w:val="16"/>
              </w:rPr>
            </w:pPr>
            <w:r>
              <w:rPr>
                <w:rFonts w:ascii="Century Gothic" w:cs="Calibri" w:hAnsi="Century Gothic"/>
                <w:sz w:val="16"/>
                <w:szCs w:val="16"/>
              </w:rPr>
              <w:t>13125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2 625 000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2 625 000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4.1.2.1.1.2.  Réaliser des plantations individuelles dans les villages riverains dans l’espace de conservation de Zecco (villages de Baré et Guian).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000000" w:fill="ffffff"/>
            <w:vAlign w:val="center"/>
            <w:hideMark/>
          </w:tcPr>
          <w:p>
            <w:pPr>
              <w:pStyle w:val="style0"/>
              <w:jc w:val="center"/>
              <w:rPr>
                <w:rFonts w:ascii="Century Gothic" w:cs="Calibri" w:hAnsi="Century Gothic"/>
                <w:i/>
                <w:iCs/>
                <w:sz w:val="16"/>
                <w:szCs w:val="16"/>
              </w:rPr>
            </w:pPr>
            <w:r>
              <w:rPr>
                <w:rFonts w:ascii="Century Gothic" w:cs="Calibri" w:hAnsi="Century Gothic"/>
                <w:i/>
                <w:iCs/>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Achat des plants pour les plantation</w:t>
            </w:r>
            <w:r>
              <w:rPr>
                <w:rFonts w:ascii="Century Gothic" w:cs="Calibri" w:hAnsi="Century Gothic"/>
                <w:sz w:val="16"/>
                <w:szCs w:val="16"/>
              </w:rPr>
              <w:t xml:space="preserve">s </w:t>
            </w:r>
            <w:r>
              <w:rPr>
                <w:rFonts w:ascii="Century Gothic" w:cs="Calibri" w:hAnsi="Century Gothic"/>
                <w:sz w:val="16"/>
                <w:szCs w:val="16"/>
              </w:rPr>
              <w:t>individuelles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000000" w:fill="ffffff"/>
            <w:vAlign w:val="center"/>
            <w:hideMark/>
          </w:tcPr>
          <w:p>
            <w:pPr>
              <w:pStyle w:val="style0"/>
              <w:jc w:val="center"/>
              <w:rPr>
                <w:rFonts w:ascii="Century Gothic" w:cs="Calibri" w:hAnsi="Century Gothic"/>
                <w:sz w:val="16"/>
                <w:szCs w:val="16"/>
              </w:rPr>
            </w:pPr>
            <w:r>
              <w:rPr>
                <w:rFonts w:ascii="Century Gothic" w:cs="Calibri" w:hAnsi="Century Gothic"/>
                <w:sz w:val="16"/>
                <w:szCs w:val="16"/>
              </w:rPr>
              <w:t>45000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4 500 000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 xml:space="preserve">Trouaison, plantation et entretien des arbres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45000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9 000 000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9 000 000</w:t>
            </w:r>
          </w:p>
        </w:tc>
      </w:tr>
      <w:tr>
        <w:tblPrEx/>
        <w:trPr>
          <w:trHeight w:val="58" w:hRule="atLeast"/>
        </w:trPr>
        <w:tc>
          <w:tcPr>
            <w:tcW w:w="3402" w:type="dxa"/>
            <w:tcBorders>
              <w:top w:val="single" w:sz="4" w:space="0" w:color="auto"/>
              <w:left w:val="single" w:sz="4" w:space="0" w:color="auto"/>
              <w:bottom w:val="single" w:sz="4" w:space="0" w:color="auto"/>
              <w:right w:val="nil"/>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Sous-Activité 4.1.2.1.1.3. Mettre en place un comité villageois de gestion dans l’espace de conservation de Zecco.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Organisation de séances d'information et de sensibilisation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Organiser de l’AG constitutive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Recherche de reconnaissance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197"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Sous-Activité 4.1.2.1.1.4. Former/ recycler 07 membres (06H et 01 F) du comité de gestion / suivi de la charte sur leurs attributions dans l’espace de conservation de Zecco.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Honoraire formateur 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Honoraire formateur 2</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Location salle (2 jours)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Matériel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Prise en charge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Suivi des formations par le service agriculture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4.1.2.1.1.5. Elaborer une charte locale de foncière de la forêt de Zecco</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Honoraire de l'expert foncier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Frais de rafraîchissement des rencontres villageoise</w:t>
            </w:r>
            <w:r>
              <w:rPr>
                <w:rFonts w:ascii="Century Gothic" w:cs="Calibri" w:hAnsi="Century Gothic"/>
                <w:color w:val="000000"/>
                <w:sz w:val="16"/>
                <w:szCs w:val="16"/>
              </w:rPr>
              <w: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Prise en charge des Services techniques et maire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Session du conseil municipal pour adoption</w:t>
            </w:r>
          </w:p>
        </w:tc>
        <w:tc>
          <w:tcPr>
            <w:tcW w:w="1134" w:type="dxa"/>
            <w:tcBorders>
              <w:top w:val="nil"/>
              <w:left w:val="nil"/>
              <w:bottom w:val="nil"/>
              <w:right w:val="nil"/>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nil"/>
              <w:right w:val="nil"/>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nil"/>
              <w:right w:val="nil"/>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250000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4.1.2.1.1.6. Réaliser le bornage de la forêt villageoise de Zecco</w:t>
            </w:r>
          </w:p>
        </w:tc>
        <w:tc>
          <w:tcPr>
            <w:tcW w:w="1134" w:type="dxa"/>
            <w:tcBorders>
              <w:top w:val="nil"/>
              <w:left w:val="nil"/>
              <w:bottom w:val="nil"/>
              <w:right w:val="nil"/>
            </w:tcBorders>
            <w:shd w:val="clear" w:color="auto" w:fill="auto"/>
            <w:noWrap/>
            <w:vAlign w:val="bottom"/>
            <w:hideMark/>
          </w:tcPr>
          <w:p>
            <w:pPr>
              <w:pStyle w:val="style0"/>
              <w:jc w:val="both"/>
              <w:rPr>
                <w:rFonts w:ascii="Century Gothic" w:cs="Calibri" w:hAnsi="Century Gothic"/>
                <w:b/>
                <w:bCs/>
                <w:i/>
                <w:iCs/>
                <w:color w:val="000000"/>
                <w:sz w:val="16"/>
                <w:szCs w:val="16"/>
              </w:rPr>
            </w:pPr>
          </w:p>
        </w:tc>
        <w:tc>
          <w:tcPr>
            <w:tcW w:w="1276" w:type="dxa"/>
            <w:tcBorders>
              <w:top w:val="nil"/>
              <w:left w:val="nil"/>
              <w:bottom w:val="nil"/>
              <w:right w:val="nil"/>
            </w:tcBorders>
            <w:shd w:val="clear" w:color="auto" w:fill="auto"/>
            <w:noWrap/>
            <w:vAlign w:val="bottom"/>
            <w:hideMark/>
          </w:tcPr>
          <w:p>
            <w:pPr>
              <w:pStyle w:val="style0"/>
              <w:rPr>
                <w:rFonts w:ascii="Century Gothic" w:hAnsi="Century Gothic"/>
                <w:sz w:val="16"/>
                <w:szCs w:val="16"/>
              </w:rPr>
            </w:pPr>
          </w:p>
        </w:tc>
        <w:tc>
          <w:tcPr>
            <w:tcW w:w="851" w:type="dxa"/>
            <w:tcBorders>
              <w:top w:val="nil"/>
              <w:left w:val="nil"/>
              <w:bottom w:val="nil"/>
              <w:right w:val="nil"/>
            </w:tcBorders>
            <w:shd w:val="clear" w:color="auto" w:fill="auto"/>
            <w:noWrap/>
            <w:vAlign w:val="bottom"/>
            <w:hideMark/>
          </w:tcPr>
          <w:p>
            <w:pPr>
              <w:pStyle w:val="style0"/>
              <w:jc w:val="center"/>
              <w:rPr>
                <w:rFonts w:ascii="Century Gothic" w:hAnsi="Century Gothic"/>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Confection des bornes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Fixation des bornes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101"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Sous-Activité 4.1.2.1.1.7. Confectionner et fixer cinq (5) de panneaux d'information et de sensibilisation sur la forêt de Baré</w:t>
            </w:r>
          </w:p>
        </w:tc>
        <w:tc>
          <w:tcPr>
            <w:tcW w:w="1134" w:type="dxa"/>
            <w:tcBorders>
              <w:top w:val="nil"/>
              <w:left w:val="nil"/>
              <w:bottom w:val="nil"/>
              <w:right w:val="nil"/>
            </w:tcBorders>
            <w:shd w:val="clear" w:color="auto" w:fill="auto"/>
            <w:noWrap/>
            <w:vAlign w:val="bottom"/>
            <w:hideMark/>
          </w:tcPr>
          <w:p>
            <w:pPr>
              <w:pStyle w:val="style0"/>
              <w:jc w:val="both"/>
              <w:rPr>
                <w:rFonts w:ascii="Century Gothic" w:cs="Calibri" w:hAnsi="Century Gothic"/>
                <w:b/>
                <w:bCs/>
                <w:i/>
                <w:iCs/>
                <w:color w:val="000000"/>
                <w:sz w:val="16"/>
                <w:szCs w:val="16"/>
              </w:rPr>
            </w:pPr>
          </w:p>
        </w:tc>
        <w:tc>
          <w:tcPr>
            <w:tcW w:w="1276" w:type="dxa"/>
            <w:tcBorders>
              <w:top w:val="nil"/>
              <w:left w:val="nil"/>
              <w:bottom w:val="nil"/>
              <w:right w:val="nil"/>
            </w:tcBorders>
            <w:shd w:val="clear" w:color="auto" w:fill="auto"/>
            <w:noWrap/>
            <w:vAlign w:val="bottom"/>
            <w:hideMark/>
          </w:tcPr>
          <w:p>
            <w:pPr>
              <w:pStyle w:val="style0"/>
              <w:rPr>
                <w:rFonts w:ascii="Century Gothic" w:hAnsi="Century Gothic"/>
                <w:sz w:val="16"/>
                <w:szCs w:val="16"/>
              </w:rPr>
            </w:pPr>
          </w:p>
        </w:tc>
        <w:tc>
          <w:tcPr>
            <w:tcW w:w="851" w:type="dxa"/>
            <w:tcBorders>
              <w:top w:val="nil"/>
              <w:left w:val="nil"/>
              <w:bottom w:val="nil"/>
              <w:right w:val="nil"/>
            </w:tcBorders>
            <w:shd w:val="clear" w:color="auto" w:fill="auto"/>
            <w:noWrap/>
            <w:vAlign w:val="bottom"/>
            <w:hideMark/>
          </w:tcPr>
          <w:p>
            <w:pPr>
              <w:pStyle w:val="style0"/>
              <w:jc w:val="center"/>
              <w:rPr>
                <w:rFonts w:ascii="Century Gothic" w:hAnsi="Century Gothic"/>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6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Confection des panneaux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Fixation des panneaux</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Sous-total Résultat 1: séquestration du carbone Baré (FC)</w:t>
            </w:r>
          </w:p>
        </w:tc>
        <w:tc>
          <w:tcPr>
            <w:tcW w:w="1134" w:type="dxa"/>
            <w:tcBorders>
              <w:top w:val="nil"/>
              <w:left w:val="nil"/>
              <w:bottom w:val="single" w:sz="4" w:space="0" w:color="auto"/>
              <w:right w:val="single" w:sz="4" w:space="0" w:color="auto"/>
            </w:tcBorders>
            <w:shd w:val="clear" w:color="000000" w:fill="d9d9d9"/>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23 437 500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11 562 500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11 875 000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00ffff"/>
            <w:noWrap/>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4.1.2.2 Activités induites d’amélioration des productivités et des revenus dans l’espace de conservation de conservation de Zecco (villages de Baré et Guian).</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4.1.2.2.1. Appuyer 100 producteurs à la production et à l’utilisation du compost dans l’espace de conservation de Zecco (villages de Baré et Guian).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Doter les producteurs en pelles pour la production de la fumure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Doter les producteurs en Burkina Phosphate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8 000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Mobilisation des agrégats (paille, résidus agricole, fumier)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Tas</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Frais de suivi et de supervision des services techniques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433"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4.1.2.2.2. Appuyer 100 producteurs la fauche et conservation du fourrage naturel dans les villages riverains de l‘espace de conservation de Zecco (villages de Baré et Guian)</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Matériel pour la fauche (botteleuses et faucilles)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Construction des fenils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Appui à la  construction fenils (appui avec 10 tôles chevrons/producteurs)</w:t>
            </w:r>
            <w:r>
              <w:rPr>
                <w:rFonts w:ascii="Century Gothic" w:cs="Calibri" w:hAnsi="Century Gothic"/>
                <w:color w:val="000000"/>
                <w:sz w:val="16"/>
                <w:szCs w:val="16"/>
              </w:rPr>
              <w:t xml:space="preserve"> </w:t>
            </w:r>
            <w:r>
              <w:rPr>
                <w:rFonts w:ascii="Century Gothic" w:cs="Calibri" w:hAnsi="Century Gothic"/>
                <w:color w:val="000000"/>
                <w:sz w:val="16"/>
                <w:szCs w:val="16"/>
              </w:rPr>
              <w:t>+ transport</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Frais suivi et de supervision des services techniques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600" w:hRule="atLeast"/>
        </w:trPr>
        <w:tc>
          <w:tcPr>
            <w:tcW w:w="3402" w:type="dxa"/>
            <w:tcBorders>
              <w:top w:val="single" w:sz="4" w:space="0" w:color="auto"/>
              <w:left w:val="single" w:sz="4" w:space="0" w:color="auto"/>
              <w:bottom w:val="single" w:sz="4" w:space="0" w:color="auto"/>
              <w:right w:val="nil"/>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xml:space="preserve">Activité 4.1.2.2.3. Appuyer l’aviculture villageoise au profit de la coopérative Baré sakia de Baré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226" w:hRule="atLeast"/>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Doter</w:t>
            </w:r>
            <w:r>
              <w:rPr>
                <w:rFonts w:ascii="Century Gothic" w:cs="Calibri" w:hAnsi="Century Gothic"/>
                <w:i/>
                <w:iCs/>
                <w:color w:val="000000"/>
                <w:sz w:val="16"/>
                <w:szCs w:val="16"/>
              </w:rPr>
              <w:t xml:space="preserve"> les femmes en kits de matériel</w:t>
            </w:r>
            <w:r>
              <w:rPr>
                <w:rFonts w:ascii="Century Gothic" w:cs="Calibri" w:hAnsi="Century Gothic"/>
                <w:i/>
                <w:iCs/>
                <w:color w:val="000000"/>
                <w:sz w:val="16"/>
                <w:szCs w:val="16"/>
              </w:rPr>
              <w:t xml:space="preserve"> avicole (poulailler, coq, poules, etc</w:t>
            </w:r>
            <w:r>
              <w:rPr>
                <w:rFonts w:ascii="Century Gothic" w:cs="Calibri" w:hAnsi="Century Gothic"/>
                <w:i/>
                <w:iCs/>
                <w:color w:val="000000"/>
                <w:sz w:val="16"/>
                <w:szCs w:val="16"/>
              </w:rPr>
              <w:t>.</w:t>
            </w:r>
            <w:r>
              <w:rPr>
                <w:rFonts w:ascii="Century Gothic" w:cs="Calibri" w:hAnsi="Century Gothic"/>
                <w:i/>
                <w:iCs/>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Suivi et appui conseil de l'expert en apiculture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1 125 000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1 125 000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Sous-total Résultat 2:amélioration des revenus  Baré FC</w:t>
            </w: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1"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20 475 000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20 475 000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0</w:t>
            </w:r>
          </w:p>
        </w:tc>
      </w:tr>
      <w:tr>
        <w:tblPrEx/>
        <w:trPr>
          <w:trHeight w:val="1200" w:hRule="atLeast"/>
        </w:trPr>
        <w:tc>
          <w:tcPr>
            <w:tcW w:w="3402" w:type="dxa"/>
            <w:tcBorders>
              <w:top w:val="nil"/>
              <w:left w:val="single" w:sz="4" w:space="0" w:color="auto"/>
              <w:bottom w:val="single" w:sz="4" w:space="0" w:color="auto"/>
              <w:right w:val="single" w:sz="4" w:space="0" w:color="auto"/>
            </w:tcBorders>
            <w:shd w:val="clear" w:color="000000" w:fill="00ffff"/>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4.1.2.3. Activités de renforcement des capacités d’adaptation aux activités et responsabilités dans l’espace de conservation de conservation de Zecco (villages de Baré et Guian).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6"/>
                <w:szCs w:val="16"/>
              </w:rPr>
            </w:pPr>
          </w:p>
        </w:tc>
      </w:tr>
      <w:tr>
        <w:tblPrEx/>
        <w:trPr>
          <w:trHeight w:val="359"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4.1.2.3.1. Former 200 producteurs en technique de plantation et entretien des espèces végétales dans l’espace de conservation de Zecco (villages de Baré et Guian).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4.1.2.3.2. Former 100 producteurs à la production et à l’utilisation du compost dans l’espace de conservation de Zecco (villages de Baré et Guian).</w:t>
            </w:r>
          </w:p>
        </w:tc>
        <w:tc>
          <w:tcPr>
            <w:tcW w:w="1134"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703"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4.1.2.3.3. Former 100 producteurs en technique de fauche et de conservation de fourrage naturel dans l’espace de conservation de Zecco (villages de Baré et Guian).</w:t>
            </w:r>
          </w:p>
        </w:tc>
        <w:tc>
          <w:tcPr>
            <w:tcW w:w="1134"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600" w:hRule="atLeast"/>
        </w:trPr>
        <w:tc>
          <w:tcPr>
            <w:tcW w:w="3402" w:type="dxa"/>
            <w:tcBorders>
              <w:top w:val="single" w:sz="4" w:space="0" w:color="auto"/>
              <w:left w:val="single" w:sz="4" w:space="0" w:color="auto"/>
              <w:bottom w:val="single" w:sz="4" w:space="0" w:color="auto"/>
              <w:right w:val="nil"/>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4.1.2.3.4. Former 30 membres de la coopérative Baré sakia du village Baré en aviculture</w:t>
            </w:r>
            <w:r>
              <w:rPr>
                <w:rFonts w:ascii="Century Gothic" w:cs="Calibri" w:hAnsi="Century Gothic"/>
                <w:b/>
                <w:bCs/>
                <w:color w:val="000000"/>
                <w:sz w:val="16"/>
                <w:szCs w:val="16"/>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Honoraire du formateur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180 000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180 000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Sous total Capacité Baré FC</w:t>
            </w: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4 780 000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4 780 000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bdd7ee"/>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ESPACE DE CONSERVATION DE ZECCO</w:t>
            </w: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48 692 500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36 817 500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11 875 000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ffff00"/>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ESPACE DE CONSERVATION DE BARE (FORET SACREE)</w:t>
            </w:r>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6"/>
                <w:szCs w:val="16"/>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6"/>
                <w:szCs w:val="16"/>
              </w:rPr>
            </w:pPr>
          </w:p>
        </w:tc>
      </w:tr>
      <w:tr>
        <w:tblPrEx/>
        <w:trPr>
          <w:trHeight w:val="58" w:hRule="atLeast"/>
        </w:trPr>
        <w:tc>
          <w:tcPr>
            <w:tcW w:w="7797" w:type="dxa"/>
            <w:gridSpan w:val="5"/>
            <w:tcBorders>
              <w:top w:val="single" w:sz="4" w:space="0" w:color="auto"/>
              <w:left w:val="single" w:sz="4" w:space="0" w:color="auto"/>
              <w:bottom w:val="single" w:sz="4" w:space="0" w:color="auto"/>
              <w:right w:val="single" w:sz="4" w:space="0" w:color="auto"/>
            </w:tcBorders>
            <w:shd w:val="clear" w:color="000000" w:fill="00ffff"/>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     Activités directement liée à la réduction des émissions de gaz à effet de serre dans la forêt sacrée de Baré</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 xml:space="preserve">Activité 3.4.1. Réaliser des plantations d’enrichissement/délimitation de la forêt sacrée de Baré (1,97 hectares)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Achat des plants pour la matérialisation des limites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6"/>
                <w:szCs w:val="16"/>
              </w:rPr>
            </w:pPr>
            <w:r>
              <w:rPr>
                <w:rFonts w:ascii="Century Gothic" w:cs="Calibri" w:hAnsi="Century Gothic"/>
                <w:sz w:val="16"/>
                <w:szCs w:val="16"/>
              </w:rPr>
              <w:t xml:space="preserve">Trouaison, plantation et entretien des arbres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60 000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Activité 3.4.2. Réaliser le bornage de la forêt villageoise sacrée de Baré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106"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Confection des bornes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275 000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Fixation des bornes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110 000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110 000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Activité 4.3.3. Confectionner et fixer deux (2) de panneaux d'information et de sensibilisation sur la forêt sacrés de Baré</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Confection des panneaux</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Fixation des panneaux</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bdd7ee"/>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FORET SACREE DE BARE</w:t>
            </w: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595 000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535 000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60 000</w:t>
            </w:r>
          </w:p>
        </w:tc>
      </w:tr>
      <w:bookmarkStart w:id="37" w:name="RANGE!A185"/>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ffff00"/>
            <w:noWrap/>
            <w:vAlign w:val="center"/>
            <w:hideMark/>
          </w:tcPr>
          <w:p>
            <w:pPr>
              <w:pStyle w:val="style0"/>
              <w:ind w:firstLine="803" w:firstLineChars="500"/>
              <w:rPr>
                <w:rFonts w:ascii="Century Gothic" w:cs="Calibri" w:hAnsi="Century Gothic"/>
                <w:b/>
                <w:bCs/>
                <w:color w:val="000000"/>
                <w:sz w:val="16"/>
                <w:szCs w:val="16"/>
              </w:rPr>
            </w:pPr>
            <w:r>
              <w:rPr>
                <w:rFonts w:ascii="Century Gothic" w:cs="Calibri" w:hAnsi="Century Gothic"/>
                <w:b/>
                <w:bCs/>
                <w:color w:val="000000"/>
                <w:sz w:val="16"/>
                <w:szCs w:val="16"/>
              </w:rPr>
              <w:t>4.4. Le suivi évaluation et la capitalisation du PDIC</w:t>
            </w:r>
            <w:bookmarkEnd w:id="37"/>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000000" w:fill="ffff00"/>
            <w:noWrap/>
            <w:vAlign w:val="center"/>
            <w:hideMark/>
          </w:tcPr>
          <w:p>
            <w:pPr>
              <w:pStyle w:val="style0"/>
              <w:jc w:val="center"/>
              <w:rPr>
                <w:rFonts w:ascii="Century Gothic" w:cs="Calibri" w:hAnsi="Century Gothic"/>
                <w:color w:val="000000"/>
                <w:sz w:val="16"/>
                <w:szCs w:val="16"/>
              </w:rPr>
            </w:pP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4.4.1 Organiser l’atelier de lancement du PDIC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Prise en charge des participants (50personnesX1jr)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Location de salle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4.4.2 Suivre la mise en œuvre du PDIC/REDD+ de ZECCO</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Prise en charge de membres de la commission communale (30personnesX2jrs/anx5ans)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900 000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900 000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Location de salle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r>
      <w:tr>
        <w:tblPrEx/>
        <w:trPr>
          <w:trHeight w:val="9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4.4.3. Mettre en œuvre des mesures de sauvegarde environnementales et sociales du PDIC/REDD+ de Zecco</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Prise en charge chargé des sauvegardes environnementales et sociales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xml:space="preserve">mois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3 000 000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Formation sur les sauvegardes environnementales et sociales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6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Moto déplacement du responsable sauvegardes environnementales et sociales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800 000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800 000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Fonctionnement moto</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xml:space="preserve">mois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1 200 000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58"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 4.4.4 Organiser l’atelier de capitalisation du PDIC/REDD+ de Zecco</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Prise en charge des participants (50personnesX1jr)</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Restauration des participants</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Matériel et fournitures de formation</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6"/>
                <w:szCs w:val="16"/>
              </w:rPr>
            </w:pPr>
            <w:r>
              <w:rPr>
                <w:rFonts w:ascii="Century Gothic" w:cs="Calibri" w:hAnsi="Century Gothic"/>
                <w:i/>
                <w:iCs/>
                <w:color w:val="000000"/>
                <w:sz w:val="16"/>
                <w:szCs w:val="16"/>
              </w:rPr>
              <w:t>Location de salle</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50 000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6"/>
                <w:szCs w:val="16"/>
              </w:rPr>
            </w:pPr>
            <w:r>
              <w:rPr>
                <w:rFonts w:ascii="Century Gothic" w:cs="Calibri" w:hAnsi="Century Gothic"/>
                <w:i/>
                <w:iCs/>
                <w:color w:val="000000"/>
                <w:sz w:val="16"/>
                <w:szCs w:val="16"/>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150 000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bdd7ee"/>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SUIVI EVALUATION PDIC/ZECCO</w:t>
            </w: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851"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9 800 000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9 000 000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800 000</w:t>
            </w:r>
          </w:p>
        </w:tc>
      </w:tr>
      <w:tr>
        <w:tblPrEx/>
        <w:trPr>
          <w:trHeight w:val="300" w:hRule="atLeast"/>
        </w:trPr>
        <w:tc>
          <w:tcPr>
            <w:tcW w:w="3402" w:type="dxa"/>
            <w:tcBorders>
              <w:top w:val="nil"/>
              <w:left w:val="single" w:sz="4" w:space="0" w:color="auto"/>
              <w:bottom w:val="single" w:sz="4" w:space="0" w:color="auto"/>
              <w:right w:val="single" w:sz="4" w:space="0" w:color="auto"/>
            </w:tcBorders>
            <w:shd w:val="clear" w:color="000000" w:fill="00ff00"/>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PARTIEL PDIC/ZECCO</w:t>
            </w:r>
          </w:p>
        </w:tc>
        <w:tc>
          <w:tcPr>
            <w:tcW w:w="1134"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1276"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851"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6"/>
                <w:szCs w:val="16"/>
              </w:rPr>
            </w:pPr>
          </w:p>
        </w:tc>
        <w:tc>
          <w:tcPr>
            <w:tcW w:w="1134"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135 147 500</w:t>
            </w:r>
          </w:p>
        </w:tc>
        <w:tc>
          <w:tcPr>
            <w:tcW w:w="992"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103 972 500</w:t>
            </w:r>
          </w:p>
        </w:tc>
        <w:tc>
          <w:tcPr>
            <w:tcW w:w="992"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31 175 000</w:t>
            </w:r>
          </w:p>
        </w:tc>
      </w:tr>
      <w:tr>
        <w:tblPrEx/>
        <w:trPr>
          <w:trHeight w:val="300" w:hRule="atLeast"/>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Gestion du PDIC (15%) du total partiel</w:t>
            </w:r>
          </w:p>
        </w:tc>
        <w:tc>
          <w:tcPr>
            <w:tcW w:w="1134" w:type="dxa"/>
            <w:tcBorders>
              <w:top w:val="nil"/>
              <w:left w:val="single" w:sz="4" w:space="0" w:color="auto"/>
              <w:bottom w:val="nil"/>
              <w:right w:val="nil"/>
            </w:tcBorders>
            <w:shd w:val="clear" w:color="auto" w:fill="auto"/>
            <w:vAlign w:val="center"/>
            <w:hideMark/>
          </w:tcPr>
          <w:p>
            <w:pPr>
              <w:pStyle w:val="style0"/>
              <w:rPr>
                <w:rFonts w:ascii="Century Gothic" w:cs="Calibri" w:hAnsi="Century Gothic"/>
                <w:color w:val="000000"/>
                <w:sz w:val="16"/>
                <w:szCs w:val="16"/>
              </w:rPr>
            </w:pPr>
          </w:p>
        </w:tc>
        <w:tc>
          <w:tcPr>
            <w:tcW w:w="1276" w:type="dxa"/>
            <w:tcBorders>
              <w:top w:val="nil"/>
              <w:left w:val="nil"/>
              <w:bottom w:val="nil"/>
              <w:right w:val="nil"/>
            </w:tcBorders>
            <w:shd w:val="clear" w:color="auto" w:fill="auto"/>
            <w:vAlign w:val="center"/>
            <w:hideMark/>
          </w:tcPr>
          <w:p>
            <w:pPr>
              <w:pStyle w:val="style0"/>
              <w:jc w:val="center"/>
              <w:rPr>
                <w:rFonts w:ascii="Century Gothic" w:hAnsi="Century Gothic"/>
                <w:sz w:val="16"/>
                <w:szCs w:val="16"/>
              </w:rPr>
            </w:pPr>
          </w:p>
        </w:tc>
        <w:tc>
          <w:tcPr>
            <w:tcW w:w="851" w:type="dxa"/>
            <w:tcBorders>
              <w:top w:val="nil"/>
              <w:left w:val="nil"/>
              <w:bottom w:val="nil"/>
              <w:right w:val="nil"/>
            </w:tcBorders>
            <w:shd w:val="clear" w:color="auto" w:fill="auto"/>
            <w:vAlign w:val="center"/>
            <w:hideMark/>
          </w:tcPr>
          <w:p>
            <w:pPr>
              <w:pStyle w:val="style0"/>
              <w:jc w:val="center"/>
              <w:rPr>
                <w:rFonts w:ascii="Century Gothic" w:hAnsi="Century Gothic"/>
                <w:sz w:val="16"/>
                <w:szCs w:val="16"/>
              </w:rPr>
            </w:pPr>
          </w:p>
        </w:tc>
        <w:tc>
          <w:tcPr>
            <w:tcW w:w="1134" w:type="dxa"/>
            <w:tcBorders>
              <w:top w:val="nil"/>
              <w:left w:val="nil"/>
              <w:bottom w:val="nil"/>
              <w:right w:val="nil"/>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20 272 125</w:t>
            </w:r>
          </w:p>
        </w:tc>
        <w:tc>
          <w:tcPr>
            <w:tcW w:w="992" w:type="dxa"/>
            <w:tcBorders>
              <w:top w:val="nil"/>
              <w:left w:val="nil"/>
              <w:bottom w:val="nil"/>
              <w:right w:val="nil"/>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20 272 125</w:t>
            </w:r>
          </w:p>
        </w:tc>
        <w:tc>
          <w:tcPr>
            <w:tcW w:w="992" w:type="dxa"/>
            <w:tcBorders>
              <w:top w:val="nil"/>
              <w:left w:val="nil"/>
              <w:bottom w:val="nil"/>
              <w:right w:val="nil"/>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r>
      <w:tr>
        <w:tblPrEx/>
        <w:trPr>
          <w:trHeight w:val="300" w:hRule="atLeast"/>
        </w:trPr>
        <w:tc>
          <w:tcPr>
            <w:tcW w:w="3402" w:type="dxa"/>
            <w:tcBorders>
              <w:top w:val="single" w:sz="4" w:space="0" w:color="auto"/>
              <w:left w:val="single" w:sz="4" w:space="0" w:color="auto"/>
              <w:bottom w:val="single" w:sz="4" w:space="0" w:color="auto"/>
              <w:right w:val="single" w:sz="4" w:space="0" w:color="auto"/>
            </w:tcBorders>
            <w:shd w:val="clear" w:color="000000" w:fill="ffff00"/>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PARTIEL PDIC/ZECCO</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155 419 625</w:t>
            </w:r>
          </w:p>
        </w:tc>
        <w:tc>
          <w:tcPr>
            <w:tcW w:w="992" w:type="dxa"/>
            <w:tcBorders>
              <w:top w:val="single" w:sz="4" w:space="0" w:color="auto"/>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124 244 625</w:t>
            </w:r>
          </w:p>
        </w:tc>
        <w:tc>
          <w:tcPr>
            <w:tcW w:w="992" w:type="dxa"/>
            <w:tcBorders>
              <w:top w:val="single" w:sz="4" w:space="0" w:color="auto"/>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31 175 000</w:t>
            </w:r>
          </w:p>
        </w:tc>
      </w:tr>
    </w:tbl>
    <w:p>
      <w:pPr>
        <w:pStyle w:val="style0"/>
        <w:rPr/>
      </w:pPr>
    </w:p>
    <w:p>
      <w:pPr>
        <w:pStyle w:val="style0"/>
        <w:rPr/>
      </w:pPr>
    </w:p>
    <w:p>
      <w:pPr>
        <w:pStyle w:val="style0"/>
        <w:spacing w:after="160" w:lineRule="auto" w:line="259"/>
        <w:rPr>
          <w:rFonts w:ascii="Century Gothic" w:hAnsi="Century Gothic"/>
          <w:bCs/>
        </w:rPr>
      </w:pPr>
      <w:r>
        <w:rPr>
          <w:rFonts w:ascii="Century Gothic" w:hAnsi="Century Gothic"/>
          <w:bCs/>
        </w:rPr>
        <w:br w:type="page"/>
      </w:r>
    </w:p>
    <w:p>
      <w:pPr>
        <w:pStyle w:val="style0"/>
        <w:tabs>
          <w:tab w:val="left" w:leader="none" w:pos="9214"/>
          <w:tab w:val="left" w:leader="none" w:pos="9639"/>
        </w:tabs>
        <w:jc w:val="both"/>
        <w:rPr>
          <w:rFonts w:ascii="Century Gothic" w:hAnsi="Century Gothic"/>
          <w:bCs/>
        </w:rPr>
      </w:pPr>
    </w:p>
    <w:bookmarkStart w:id="38" w:name="_Toc82049059"/>
    <w:p>
      <w:pPr>
        <w:pStyle w:val="style3"/>
        <w:numPr>
          <w:ilvl w:val="0"/>
          <w:numId w:val="0"/>
        </w:numPr>
        <w:tabs>
          <w:tab w:val="left" w:leader="none" w:pos="9214"/>
          <w:tab w:val="left" w:leader="none" w:pos="9639"/>
        </w:tabs>
        <w:rPr>
          <w:rFonts w:ascii="Century Gothic" w:hAnsi="Century Gothic"/>
          <w:i w:val="false"/>
          <w:szCs w:val="24"/>
        </w:rPr>
      </w:pPr>
      <w:r>
        <w:rPr>
          <w:rFonts w:ascii="Century Gothic" w:hAnsi="Century Gothic"/>
          <w:i w:val="false"/>
          <w:szCs w:val="24"/>
        </w:rPr>
        <w:t>4.</w:t>
      </w:r>
      <w:r>
        <w:rPr>
          <w:rFonts w:ascii="Century Gothic" w:hAnsi="Century Gothic"/>
          <w:i w:val="false"/>
          <w:szCs w:val="24"/>
        </w:rPr>
        <w:t>6</w:t>
      </w:r>
      <w:r>
        <w:rPr>
          <w:rFonts w:ascii="Century Gothic" w:hAnsi="Century Gothic"/>
          <w:i w:val="false"/>
          <w:szCs w:val="24"/>
        </w:rPr>
        <w:t>. Cadre logique du PDIC REDD+</w:t>
      </w:r>
      <w:bookmarkEnd w:id="38"/>
    </w:p>
    <w:p>
      <w:pPr>
        <w:pStyle w:val="style0"/>
        <w:tabs>
          <w:tab w:val="left" w:leader="none" w:pos="9214"/>
          <w:tab w:val="left" w:leader="none" w:pos="9639"/>
        </w:tabs>
        <w:rPr>
          <w:rFonts w:ascii="Century Gothic" w:hAnsi="Century Gothic"/>
        </w:rPr>
      </w:pPr>
    </w:p>
    <w:bookmarkStart w:id="39" w:name="_Toc82049142"/>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IV</w:t>
      </w:r>
      <w:r>
        <w:rPr>
          <w:rFonts w:ascii="Century Gothic" w:hAnsi="Century Gothic"/>
          <w:color w:val="auto"/>
          <w:sz w:val="22"/>
          <w:szCs w:val="22"/>
        </w:rPr>
        <w:fldChar w:fldCharType="end"/>
      </w:r>
      <w:r>
        <w:rPr>
          <w:rFonts w:ascii="Century Gothic" w:hAnsi="Century Gothic"/>
          <w:color w:val="auto"/>
          <w:sz w:val="22"/>
          <w:szCs w:val="22"/>
        </w:rPr>
        <w:t>: Cadre logique</w:t>
      </w:r>
      <w:bookmarkEnd w:id="39"/>
    </w:p>
    <w:tbl>
      <w:tblPr>
        <w:tblW w:w="0" w:type="auto"/>
        <w:tblInd w:w="-5" w:type="dxa"/>
        <w:tblLayout w:type="fixed"/>
        <w:tblCellMar>
          <w:left w:w="70" w:type="dxa"/>
          <w:right w:w="70" w:type="dxa"/>
        </w:tblCellMar>
        <w:tblLook w:val="04A0" w:firstRow="1" w:lastRow="0" w:firstColumn="1" w:lastColumn="0" w:noHBand="0" w:noVBand="1"/>
      </w:tblPr>
      <w:tblGrid>
        <w:gridCol w:w="2977"/>
        <w:gridCol w:w="1985"/>
        <w:gridCol w:w="1701"/>
        <w:gridCol w:w="1134"/>
        <w:gridCol w:w="1850"/>
      </w:tblGrid>
      <w:tr>
        <w:trPr>
          <w:trHeight w:val="64" w:hRule="atLeast"/>
          <w:tblHead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LOGIQUE D’INTERVENTION</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INDICATEURS OBJECTIVEMENT VERIFIABLES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CIBLES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SOURCES DE VERIFICATION</w:t>
            </w: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HYPOTHESES</w:t>
            </w:r>
          </w:p>
        </w:tc>
      </w:tr>
      <w:tr>
        <w:tblPrEx/>
        <w:trPr>
          <w:trHeight w:val="1044" w:hRule="atLeast"/>
        </w:trPr>
        <w:tc>
          <w:tcPr>
            <w:tcW w:w="2977"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6"/>
                <w:szCs w:val="16"/>
              </w:rPr>
            </w:pPr>
          </w:p>
        </w:tc>
        <w:tc>
          <w:tcPr>
            <w:tcW w:w="198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(valeurs des indicateurs conformément aux objectifs visés par le PDIC) (par sexe si possible)</w:t>
            </w:r>
          </w:p>
        </w:tc>
        <w:tc>
          <w:tcPr>
            <w:tcW w:w="1134"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6"/>
                <w:szCs w:val="16"/>
              </w:rPr>
            </w:pPr>
          </w:p>
        </w:tc>
        <w:tc>
          <w:tcPr>
            <w:tcW w:w="185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6"/>
                <w:szCs w:val="16"/>
              </w:rPr>
            </w:pPr>
          </w:p>
        </w:tc>
      </w:tr>
      <w:tr>
        <w:tblPrEx/>
        <w:trPr>
          <w:trHeight w:val="58" w:hRule="atLeast"/>
        </w:trPr>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Objectif global</w:t>
            </w:r>
            <w:r>
              <w:rPr>
                <w:rFonts w:ascii="Century Gothic" w:cs="Calibri" w:hAnsi="Century Gothic"/>
                <w:color w:val="000000"/>
                <w:sz w:val="16"/>
                <w:szCs w:val="16"/>
              </w:rPr>
              <w:t xml:space="preserve">: contribuer à la séquestration du carbone et à la réduction de la pauvreté </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Superficie de forêts aménagées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64,08 hectares aménagés et 2004 personnes touchées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 d'activités du PDIC</w:t>
            </w:r>
          </w:p>
        </w:tc>
        <w:tc>
          <w:tcPr>
            <w:tcW w:w="1850"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Politique nationale de décentralisation favorable à la création des espaces de conservation communaux et la réduction de la pauvreté en milieu rural</w:t>
            </w:r>
          </w:p>
        </w:tc>
      </w:tr>
      <w:tr>
        <w:tblPrEx/>
        <w:trPr>
          <w:trHeight w:val="1044" w:hRule="atLeast"/>
        </w:trPr>
        <w:tc>
          <w:tcPr>
            <w:tcW w:w="2977" w:type="dxa"/>
            <w:vMerge w:val="continue"/>
            <w:tcBorders>
              <w:top w:val="nil"/>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6"/>
                <w:szCs w:val="16"/>
              </w:rPr>
            </w:pP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 aux revenus augmentés</w:t>
            </w:r>
          </w:p>
        </w:tc>
        <w:tc>
          <w:tcPr>
            <w:tcW w:w="1701" w:type="dxa"/>
            <w:vMerge w:val="continue"/>
            <w:tcBorders>
              <w:top w:val="nil"/>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color w:val="000000"/>
                <w:sz w:val="16"/>
                <w:szCs w:val="16"/>
              </w:rPr>
            </w:pPr>
          </w:p>
        </w:tc>
        <w:tc>
          <w:tcPr>
            <w:tcW w:w="1134" w:type="dxa"/>
            <w:vMerge w:val="continue"/>
            <w:tcBorders>
              <w:top w:val="nil"/>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color w:val="000000"/>
                <w:sz w:val="16"/>
                <w:szCs w:val="16"/>
              </w:rPr>
            </w:pPr>
          </w:p>
        </w:tc>
        <w:tc>
          <w:tcPr>
            <w:tcW w:w="1850" w:type="dxa"/>
            <w:vMerge w:val="continue"/>
            <w:tcBorders>
              <w:top w:val="nil"/>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color w:val="000000"/>
                <w:sz w:val="16"/>
                <w:szCs w:val="16"/>
              </w:rPr>
            </w:pPr>
          </w:p>
        </w:tc>
      </w:tr>
      <w:tr>
        <w:tblPrEx/>
        <w:trPr>
          <w:trHeight w:val="456" w:hRule="atLeast"/>
        </w:trPr>
        <w:tc>
          <w:tcPr>
            <w:tcW w:w="2977" w:type="dxa"/>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1985"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701"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850"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977"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Objectifs spécifiques</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977"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Renforcer les initiatives d’aménagement et de restauration des forêts villageoises  de Gonré, Zecco et Baré;</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Nombre d'hectares </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54,89</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 d'activités</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Disponibilité des acteurs locaux et des fonds</w:t>
            </w:r>
          </w:p>
        </w:tc>
      </w:tr>
      <w:tr>
        <w:tblPrEx/>
        <w:trPr>
          <w:trHeight w:val="58" w:hRule="atLeast"/>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Améliorer les productivités agropastorales et les revenus des populations dans les espaces de conservation de Zenko-Yarsé, Gonré et Baré ;</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personnes formées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12930 personnes dont 6926 femmes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de formation, d'activités, de suivi</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Disponibilité des acteurs locaux, des prestatires et des fonds</w:t>
            </w:r>
          </w:p>
        </w:tc>
      </w:tr>
      <w:tr>
        <w:tblPrEx/>
        <w:trPr>
          <w:trHeight w:val="244" w:hRule="atLeast"/>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Assurer une gestion efficiente des ressources financières, une capitalisation et une large diffusion des résultats du PDIC/REDD+ de Zecco</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personnes impliquées dans la mise en eouvre du PDIC</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6343</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de formation, d'activités, rapports de rencontre et d'ateliers, rapports de suivi</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Expérience et engagement du personnel et de la mairie, disponibilité des acteurs locaux et des fonds</w:t>
            </w:r>
          </w:p>
        </w:tc>
      </w:tr>
      <w:tr>
        <w:tblPrEx/>
        <w:trPr>
          <w:trHeight w:val="58" w:hRule="atLeast"/>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Résultats</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r>
      <w:bookmarkStart w:id="40" w:name="RANGE!A11"/>
      <w:tr>
        <w:tblPrEx/>
        <w:trPr>
          <w:trHeight w:val="232" w:hRule="atLeast"/>
        </w:trPr>
        <w:tc>
          <w:tcPr>
            <w:tcW w:w="2977"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Au moins 571 hectares de terres communales dont 64,08 hectares sont aménagés et sécurisés d’ici Décembre 2026 ;</w:t>
            </w:r>
            <w:bookmarkEnd w:id="40"/>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d'hectares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54,89</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 d'activités, rapports de suivi</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Disponibilité des acteurs locaux et des fonds</w:t>
            </w:r>
          </w:p>
        </w:tc>
      </w:tr>
      <w:tr>
        <w:tblPrEx/>
        <w:trPr>
          <w:trHeight w:val="697" w:hRule="atLeast"/>
        </w:trPr>
        <w:tc>
          <w:tcPr>
            <w:tcW w:w="2977"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Au moins 2004 bénéficiaires directs dont 828 femmes mettent en œuvre des initiatives d’amélioration des productivités agropastorales et des revenus dans les espaces de conservation de Gonré, Zecco et Baré entre Janvier 2022 et Décembre 2026 </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Niveau d'augmentation des revenus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25%</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 d'activités, rapports de suivi</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Disponibilité des acteurs locaux et des fonds</w:t>
            </w:r>
          </w:p>
        </w:tc>
      </w:tr>
      <w:tr>
        <w:tblPrEx/>
        <w:trPr>
          <w:trHeight w:val="150" w:hRule="atLeast"/>
        </w:trPr>
        <w:tc>
          <w:tcPr>
            <w:tcW w:w="2977"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Les résultats et enseignements du PDIC/REDD+ de Zecco sont capitalisés et largement diffusés entre Janvier 2022 et Décembre 2026</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rapport annuels validés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 d'activités, rapports de suivi</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Disponibilité des acteurs locaux et des fonds</w:t>
            </w:r>
          </w:p>
        </w:tc>
      </w:tr>
      <w:tr>
        <w:tblPrEx/>
        <w:trPr>
          <w:trHeight w:val="1044" w:hRule="atLeast"/>
        </w:trPr>
        <w:tc>
          <w:tcPr>
            <w:tcW w:w="2977" w:type="dxa"/>
            <w:tcBorders>
              <w:top w:val="nil"/>
              <w:left w:val="single" w:sz="4" w:space="0" w:color="auto"/>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ACTIVITES</w:t>
            </w:r>
          </w:p>
        </w:tc>
        <w:tc>
          <w:tcPr>
            <w:tcW w:w="1985" w:type="dxa"/>
            <w:tcBorders>
              <w:top w:val="nil"/>
              <w:left w:val="nil"/>
              <w:bottom w:val="single" w:sz="4" w:space="0" w:color="auto"/>
              <w:right w:val="nil"/>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INDICATEURS</w:t>
            </w:r>
          </w:p>
        </w:tc>
        <w:tc>
          <w:tcPr>
            <w:tcW w:w="1701" w:type="dxa"/>
            <w:tcBorders>
              <w:top w:val="nil"/>
              <w:left w:val="single" w:sz="4" w:space="0" w:color="auto"/>
              <w:bottom w:val="single" w:sz="4" w:space="0" w:color="auto"/>
              <w:right w:val="nil"/>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CIBLE</w:t>
            </w:r>
          </w:p>
        </w:tc>
        <w:tc>
          <w:tcPr>
            <w:tcW w:w="1134" w:type="dxa"/>
            <w:tcBorders>
              <w:top w:val="nil"/>
              <w:left w:val="single" w:sz="4" w:space="0" w:color="auto"/>
              <w:bottom w:val="single" w:sz="4" w:space="0" w:color="auto"/>
              <w:right w:val="nil"/>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Coût par type d’activité (préciser uniquement les budgets)</w:t>
            </w:r>
          </w:p>
        </w:tc>
        <w:tc>
          <w:tcPr>
            <w:tcW w:w="1850" w:type="dxa"/>
            <w:tcBorders>
              <w:top w:val="nil"/>
              <w:left w:val="single" w:sz="4" w:space="0" w:color="auto"/>
              <w:bottom w:val="single" w:sz="4" w:space="0" w:color="auto"/>
              <w:right w:val="nil"/>
            </w:tcBorders>
            <w:shd w:val="clear" w:color="000000" w:fill="ffff0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Sources de vérification</w:t>
            </w:r>
          </w:p>
        </w:tc>
      </w:tr>
      <w:tr>
        <w:tblPrEx/>
        <w:trPr>
          <w:trHeight w:val="58" w:hRule="atLeast"/>
        </w:trPr>
        <w:tc>
          <w:tcPr>
            <w:tcW w:w="9647" w:type="dxa"/>
            <w:gridSpan w:val="5"/>
            <w:tcBorders>
              <w:top w:val="nil"/>
              <w:left w:val="single" w:sz="4" w:space="0" w:color="auto"/>
              <w:bottom w:val="single" w:sz="4" w:space="0" w:color="auto"/>
              <w:right w:val="nil"/>
            </w:tcBorders>
            <w:shd w:val="clear" w:color="000000" w:fill="d9d9d9"/>
            <w:vAlign w:val="center"/>
            <w:hideMark/>
          </w:tcPr>
          <w:p>
            <w:pPr>
              <w:pStyle w:val="style0"/>
              <w:jc w:val="both"/>
              <w:rPr>
                <w:rFonts w:ascii="Century Gothic" w:cs="Calibri" w:hAnsi="Century Gothic"/>
                <w:color w:val="000000"/>
                <w:sz w:val="16"/>
                <w:szCs w:val="16"/>
              </w:rPr>
            </w:pPr>
            <w:r>
              <w:rPr>
                <w:rFonts w:ascii="Century Gothic" w:cs="Calibri" w:hAnsi="Century Gothic"/>
                <w:b/>
                <w:bCs/>
                <w:i/>
                <w:iCs/>
                <w:color w:val="000000"/>
                <w:sz w:val="16"/>
                <w:szCs w:val="16"/>
              </w:rPr>
              <w:t>1. Activités de type 1: activités liées à la réduction des émissions de gaz à effet de serre dans les espaces de conservation de Gonré, forêt de Zecco et Baré</w:t>
            </w:r>
          </w:p>
          <w:p>
            <w:pPr>
              <w:pStyle w:val="style0"/>
              <w:jc w:val="both"/>
              <w:rPr>
                <w:rFonts w:ascii="Century Gothic" w:cs="Calibri" w:hAnsi="Century Gothic"/>
                <w:color w:val="000000"/>
                <w:sz w:val="16"/>
                <w:szCs w:val="16"/>
              </w:rPr>
            </w:pP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4.1.2.1.1.1. Appuyer la production des plants dans l’espace de conservation de Gonré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plants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                                58 950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6 250 000</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de suivi de la production</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4.1.2.1.1.2. Réaliser des plantations d’enrichissement/délimitation de la forêt de Gonré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plants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13 950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4 185 000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4.1.2.1.1.3.  Réaliser des plantations individuelles dans les villages riverains dans l’espace de conservation de Gonré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plants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13 500 000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30"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4.1.2.1.1.4. Mettre en place un comité villageois de gestion de la forêt villageoise de Gonré.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PV d'assemblée</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4.1.2.1.1.5. Former/ recycler 07 membres (06H et 01 F) du comité de gestion / suivi de la charte sur leurs attributions dans l’espace de conservation de Gonré.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1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4.1.2.1.1.6. Elaborer une charte locale de foncière de la forêt de Gonré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document de la charte</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2 100 000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4.1.2.1.1.7. Réaliser le bornage de la forêt villageoise de Gonré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bornes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24</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840 000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4.1.2.1.1.8. Confectionner et fixer cinq (5) de panneaux d'information et de sensibilisation sur la forêt de Gonré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panneaux</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4.1.2.1.1.2. Réaliser des plantations d’enrichissement/délimitation de la forêt de Zecco :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plants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13 125</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3937500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4.1.2.1.1.3.  Réaliser des plantations individuelles dans les villages riverains dans l’espace de conservation de Zecco (villages de Baré et Guian).</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plants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45 000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13 500 000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381"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4.1.2.1.1.4. Mettre en place un comité villageois de gestion dans l’espace de conservation de Zecco.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plants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4.1.2.1.1.5. Former/ recycler 07 membres (06H et 01 F) du comité de gestion / suivi de la charte sur leurs attributions dans l’espace de conservation de Zecco.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PV d'assemblée</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4.1.2.1.1.6. Elaborer une charte locale de foncière de la forêt de Zecco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document de la charte</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2 850 000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4.1.2.1.1.7. Réaliser le bornage de la forêt villageoise de Zecco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bornes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700000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4.1.2.1.1.8. Confectionner et fixer cinq (5) de panneaux d'information et de sensibilisation sur la forêt de Baré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panneaux</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82"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3.4.1. Réaliser des plantations d’enrichissement/délimitation de la forêt sacrée de Baré (1,97 hectares)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plants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90 000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3.4.2. Réaliser le bornage de la forêt villageoise sacrée de Baré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bornes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385 000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433"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4.3.3. Confectionner et fixer deux (2) de panneaux d'information et de sensibilisation sur la forêt sacrés de Baré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panneaux</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120 000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9647" w:type="dxa"/>
            <w:gridSpan w:val="5"/>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6"/>
                <w:szCs w:val="16"/>
              </w:rPr>
            </w:pPr>
            <w:r>
              <w:rPr>
                <w:rFonts w:ascii="Century Gothic" w:cs="Calibri" w:hAnsi="Century Gothic"/>
                <w:b/>
                <w:bCs/>
                <w:i/>
                <w:iCs/>
                <w:color w:val="000000"/>
                <w:sz w:val="16"/>
                <w:szCs w:val="16"/>
              </w:rPr>
              <w:t>Activités induites d’amélioration des productivités et des revenus dans les espaces de conservation de Gonré, forêt de Zecco et Baré</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4.1.2.2.1. Appuyer 100 producteurs à la production et à l’utilisation du compost dans l’espace de conservation de Gonré (Gonré et zenko-yarcé)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2 475 000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4.1.2.2.2. Appuyer 100 producteurs la fauche et conservation du fourrage naturel dans les villages riverains de l‘espace de conservation de Gonré (Gonré et zenko-yarcé)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15 375 000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340"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4.1.2.2.3. Appuyer l’apiculture moderne au profit de 20 jeunes et femmes dans l’espace de conservation de Gonré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3 475 000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10"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4.4.6. Mettre en place un périmètre maraîcher au profit de la coopérative féminine Song Taaba Maboltenga de Gonré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13 240 000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4.1.2.2.1. Appuyer 100 producteurs à la production et à l’utilisation du compost dans l’espace de conservation de Baré (villages de Baré et Guian).</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2 475 000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4.1.2.2.2. Appuyer 100 producteurs la fauche et conservation du fourrage naturel dans les villages riverains de l‘espace de conservation de Baré (villages de Baré et Guian)</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15 375 000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3"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4.1.2.2.3. Appuyer l’aviculture villageoise au profit de la coopérative Baré sakia de Baré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bénéficiaires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2 625 000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459" w:hRule="atLeast"/>
        </w:trPr>
        <w:tc>
          <w:tcPr>
            <w:tcW w:w="9647" w:type="dxa"/>
            <w:gridSpan w:val="5"/>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Activités de renforcement des capacités d’adaptation aux activités et responsabilités dans les espaces de conservation de Gonré, forêt de Zecco et Baré</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4.1.2.3.1 : Former 30 élus locaux et leaders villageois de la commune de Zecco sur la gouvernance locale et en législations environnementales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1 895 000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4.1.2.3.2 : Organiser onze (11) séances d'information et de sensibilisation sur la sécurisation foncière dans la commune de Zecco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9 204</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1 625 000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4.1.2.3.3. Former 200 producteurs en technique de plantation et entretien des espèces végétales dans l’espace de conservation de Gonré (Gonré et zenko-yarcé)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4.1.2.3.4. Former 100 producteurs à la production et à l’utilisation du compost dans l’espace de conservation de Gonré: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4.1.2.3.5. Former 100 producteurs en technique de fauche et de conservation de fourrage naturel dans l’espace de conservation de Gonré.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292"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4.1.2.3.6. Former 20 producteurs en techniques apicoles </w:t>
            </w:r>
            <w:r>
              <w:rPr>
                <w:rFonts w:ascii="Century Gothic" w:cs="Calibri" w:hAnsi="Century Gothic"/>
                <w:color w:val="000000"/>
                <w:sz w:val="16"/>
                <w:szCs w:val="16"/>
              </w:rPr>
              <w:t>modernes dans l’espace de conservation de Gonré.</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2 050 000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Former 30 membres du groupement féminin Song Taaba Maboltenga en techniques de production maraîchère de Gonré.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4.1.2.3.1. Former 200 producteurs en technique de plantation et entretien des espèces végétales dans l’espace de conservation de Baré (villages de Baré et Guian).</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4.1.2.3.2. Former 100 producteurs à la production et à l’utilisation du compost dans l’espace de conservation de Baré (villages de Baré et Guian).</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104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4.1.2.3.3. Former 100 producteurs en technique de fauche et de conservation de fourrage naturel dans l’espace de conservation de Baré (villages de Baré et Guian).</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4.1.2.3.4. Former 30 membres de la coopérative Baré sakia du village Baré en aviculture.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1 030 000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000000" w:fill="d9d9d9"/>
            <w:vAlign w:val="center"/>
            <w:hideMark/>
          </w:tcPr>
          <w:p>
            <w:pPr>
              <w:pStyle w:val="style0"/>
              <w:ind w:firstLine="803" w:firstLineChars="500"/>
              <w:jc w:val="both"/>
              <w:rPr>
                <w:rFonts w:ascii="Century Gothic" w:cs="Calibri" w:hAnsi="Century Gothic"/>
                <w:b/>
                <w:bCs/>
                <w:color w:val="000000"/>
                <w:sz w:val="16"/>
                <w:szCs w:val="16"/>
              </w:rPr>
            </w:pPr>
            <w:r>
              <w:rPr>
                <w:rFonts w:ascii="Century Gothic" w:cs="Calibri" w:hAnsi="Century Gothic"/>
                <w:b/>
                <w:bCs/>
                <w:color w:val="000000"/>
                <w:sz w:val="16"/>
                <w:szCs w:val="16"/>
              </w:rPr>
              <w:t>4.4. Le suivi évaluation et la capitalisation du PDIC</w:t>
            </w:r>
          </w:p>
        </w:tc>
        <w:tc>
          <w:tcPr>
            <w:tcW w:w="1985" w:type="dxa"/>
            <w:tcBorders>
              <w:top w:val="nil"/>
              <w:left w:val="single" w:sz="4" w:space="0" w:color="auto"/>
              <w:bottom w:val="single" w:sz="4" w:space="0" w:color="auto"/>
              <w:right w:val="single" w:sz="4" w:space="0" w:color="auto"/>
            </w:tcBorders>
            <w:shd w:val="clear" w:color="000000" w:fill="d9d9d9"/>
            <w:noWrap/>
            <w:vAlign w:val="bottom"/>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701"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0</w:t>
            </w:r>
          </w:p>
        </w:tc>
        <w:tc>
          <w:tcPr>
            <w:tcW w:w="1850"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4.4.1 Organiser l’atelier de lancement du PDIC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575 000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4.4.2 Suivre la mise en œuvre du PDIC/REDD+ de ZECCO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2 900 000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94"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4.4.3. Mettre en œuvre des mesures de sauvegarde environnementales et sociales du PDIC/REDD+ de Zecco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5 750 000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4.4.4 Organiser l’atelier de capitalisation du PDIC/REDD+ de Zecco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Nombre de participants</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575 000</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8" w:hRule="atLeast"/>
        </w:trPr>
        <w:tc>
          <w:tcPr>
            <w:tcW w:w="2977"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Frais de gestion du PDIC/REDD+ DE ZECCO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20 272 125</w:t>
            </w:r>
          </w:p>
        </w:tc>
        <w:tc>
          <w:tcPr>
            <w:tcW w:w="1850"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Rapports d'activités</w:t>
            </w:r>
          </w:p>
        </w:tc>
      </w:tr>
      <w:tr>
        <w:tblPrEx/>
        <w:trPr>
          <w:trHeight w:val="576" w:hRule="atLeast"/>
        </w:trPr>
        <w:tc>
          <w:tcPr>
            <w:tcW w:w="2977" w:type="dxa"/>
            <w:tcBorders>
              <w:top w:val="nil"/>
              <w:left w:val="single" w:sz="4" w:space="0" w:color="auto"/>
              <w:bottom w:val="single" w:sz="4" w:space="0" w:color="auto"/>
              <w:right w:val="single" w:sz="4" w:space="0" w:color="auto"/>
            </w:tcBorders>
            <w:shd w:val="clear" w:color="000000" w:fill="92d050"/>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985" w:type="dxa"/>
            <w:tcBorders>
              <w:top w:val="nil"/>
              <w:left w:val="nil"/>
              <w:bottom w:val="single" w:sz="4" w:space="0" w:color="auto"/>
              <w:right w:val="single" w:sz="4" w:space="0" w:color="auto"/>
            </w:tcBorders>
            <w:shd w:val="clear" w:color="000000" w:fill="92d050"/>
            <w:noWrap/>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TOTAL</w:t>
            </w:r>
          </w:p>
        </w:tc>
        <w:tc>
          <w:tcPr>
            <w:tcW w:w="1701" w:type="dxa"/>
            <w:tcBorders>
              <w:top w:val="nil"/>
              <w:left w:val="nil"/>
              <w:bottom w:val="single" w:sz="4" w:space="0" w:color="auto"/>
              <w:right w:val="single" w:sz="4" w:space="0" w:color="auto"/>
            </w:tcBorders>
            <w:shd w:val="clear" w:color="000000" w:fill="92d050"/>
            <w:vAlign w:val="center"/>
            <w:hideMark/>
          </w:tcPr>
          <w:p>
            <w:pPr>
              <w:pStyle w:val="style0"/>
              <w:jc w:val="center"/>
              <w:rPr>
                <w:rFonts w:ascii="Century Gothic" w:cs="Calibri" w:hAnsi="Century Gothic"/>
                <w:b/>
                <w:bCs/>
                <w:color w:val="000000"/>
                <w:sz w:val="16"/>
                <w:szCs w:val="16"/>
              </w:rPr>
            </w:pPr>
          </w:p>
        </w:tc>
        <w:tc>
          <w:tcPr>
            <w:tcW w:w="1134" w:type="dxa"/>
            <w:tcBorders>
              <w:top w:val="nil"/>
              <w:left w:val="nil"/>
              <w:bottom w:val="single" w:sz="4" w:space="0" w:color="auto"/>
              <w:right w:val="single" w:sz="4" w:space="0" w:color="auto"/>
            </w:tcBorders>
            <w:shd w:val="clear" w:color="000000" w:fill="92d050"/>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155 419 625</w:t>
            </w:r>
          </w:p>
        </w:tc>
        <w:tc>
          <w:tcPr>
            <w:tcW w:w="1850" w:type="dxa"/>
            <w:tcBorders>
              <w:top w:val="nil"/>
              <w:left w:val="nil"/>
              <w:bottom w:val="single" w:sz="4" w:space="0" w:color="auto"/>
              <w:right w:val="single" w:sz="4" w:space="0" w:color="auto"/>
            </w:tcBorders>
            <w:shd w:val="clear" w:color="000000" w:fill="92d050"/>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 </w:t>
            </w:r>
          </w:p>
        </w:tc>
      </w:tr>
    </w:tbl>
    <w:p>
      <w:pPr>
        <w:pStyle w:val="style0"/>
        <w:tabs>
          <w:tab w:val="left" w:leader="none" w:pos="9214"/>
          <w:tab w:val="left" w:leader="none" w:pos="9639"/>
        </w:tabs>
        <w:jc w:val="both"/>
        <w:rPr>
          <w:rFonts w:ascii="Century Gothic" w:hAnsi="Century Gothic"/>
          <w:i/>
        </w:rPr>
      </w:pPr>
    </w:p>
    <w:p>
      <w:pPr>
        <w:pStyle w:val="style0"/>
        <w:tabs>
          <w:tab w:val="left" w:leader="none" w:pos="9214"/>
          <w:tab w:val="left" w:leader="none" w:pos="9639"/>
        </w:tabs>
        <w:jc w:val="both"/>
        <w:rPr>
          <w:rFonts w:ascii="Century Gothic" w:hAnsi="Century Gothic"/>
          <w:i/>
        </w:rPr>
      </w:pPr>
    </w:p>
    <w:p>
      <w:pPr>
        <w:pStyle w:val="style0"/>
        <w:spacing w:after="160" w:lineRule="auto" w:line="259"/>
        <w:rPr>
          <w:rFonts w:ascii="Century Gothic" w:hAnsi="Century Gothic"/>
          <w:i/>
        </w:rPr>
      </w:pPr>
      <w:r>
        <w:rPr>
          <w:rFonts w:ascii="Century Gothic" w:hAnsi="Century Gothic"/>
          <w:i/>
        </w:rPr>
        <w:br w:type="page"/>
      </w:r>
    </w:p>
    <w:p>
      <w:pPr>
        <w:pStyle w:val="style0"/>
        <w:tabs>
          <w:tab w:val="left" w:leader="none" w:pos="9214"/>
          <w:tab w:val="left" w:leader="none" w:pos="9639"/>
        </w:tabs>
        <w:jc w:val="both"/>
        <w:rPr>
          <w:rFonts w:ascii="Century Gothic" w:hAnsi="Century Gothic"/>
          <w:i/>
        </w:rPr>
      </w:pPr>
    </w:p>
    <w:bookmarkStart w:id="41" w:name="_Toc82049060"/>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7</w:t>
      </w:r>
      <w:r>
        <w:rPr>
          <w:rFonts w:ascii="Century Gothic" w:hAnsi="Century Gothic"/>
          <w:szCs w:val="24"/>
        </w:rPr>
        <w:t xml:space="preserve"> </w:t>
      </w:r>
      <w:r>
        <w:rPr>
          <w:rFonts w:ascii="Century Gothic" w:hAnsi="Century Gothic"/>
          <w:szCs w:val="24"/>
        </w:rPr>
        <w:t>S</w:t>
      </w:r>
      <w:r>
        <w:rPr>
          <w:rFonts w:ascii="Century Gothic" w:hAnsi="Century Gothic"/>
          <w:szCs w:val="24"/>
        </w:rPr>
        <w:t xml:space="preserve">ynthèse des activités par </w:t>
      </w:r>
      <w:r>
        <w:rPr>
          <w:rFonts w:ascii="Century Gothic" w:hAnsi="Century Gothic"/>
          <w:szCs w:val="24"/>
        </w:rPr>
        <w:t>espace de conservation</w:t>
      </w:r>
      <w:bookmarkEnd w:id="41"/>
    </w:p>
    <w:p>
      <w:pPr>
        <w:pStyle w:val="style2"/>
        <w:numPr>
          <w:ilvl w:val="0"/>
          <w:numId w:val="0"/>
        </w:numPr>
        <w:tabs>
          <w:tab w:val="left" w:leader="none" w:pos="9214"/>
          <w:tab w:val="left" w:leader="none" w:pos="9639"/>
        </w:tabs>
        <w:rPr>
          <w:rFonts w:ascii="Century Gothic" w:hAnsi="Century Gothic"/>
          <w:szCs w:val="24"/>
        </w:rPr>
      </w:pPr>
    </w:p>
    <w:bookmarkStart w:id="42" w:name="_Toc82049143"/>
    <w:p>
      <w:pPr>
        <w:pStyle w:val="style34"/>
        <w:rPr>
          <w:rFonts w:ascii="Century Gothic" w:hAnsi="Century Gothic"/>
          <w:b w:val="false"/>
          <w:color w:val="auto"/>
          <w:sz w:val="22"/>
          <w:szCs w:val="22"/>
        </w:rPr>
      </w:pPr>
      <w:r>
        <w:rPr>
          <w:rFonts w:ascii="Century Gothic" w:hAnsi="Century Gothic"/>
          <w:b w:val="false"/>
          <w:color w:val="auto"/>
        </w:rPr>
        <w:t>4.</w:t>
      </w:r>
      <w:r>
        <w:rPr>
          <w:rFonts w:ascii="Century Gothic" w:hAnsi="Century Gothic"/>
          <w:b w:val="false"/>
          <w:color w:val="auto"/>
        </w:rPr>
        <w:t>7</w:t>
      </w:r>
      <w:r>
        <w:rPr>
          <w:rFonts w:ascii="Century Gothic" w:hAnsi="Century Gothic"/>
          <w:b w:val="false"/>
          <w:color w:val="auto"/>
        </w:rPr>
        <w:t xml:space="preserve">.1. </w:t>
      </w: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w:t>
      </w:r>
      <w:r>
        <w:rPr>
          <w:rFonts w:ascii="Century Gothic" w:hAnsi="Century Gothic"/>
          <w:color w:val="auto"/>
          <w:sz w:val="22"/>
          <w:szCs w:val="22"/>
        </w:rPr>
        <w:fldChar w:fldCharType="end"/>
      </w:r>
      <w:r>
        <w:rPr>
          <w:rFonts w:ascii="Century Gothic" w:hAnsi="Century Gothic"/>
          <w:color w:val="auto"/>
          <w:sz w:val="22"/>
          <w:szCs w:val="22"/>
        </w:rPr>
        <w:t>: Activités de l’espace de conservation de Gonré</w:t>
      </w:r>
      <w:bookmarkEnd w:id="42"/>
    </w:p>
    <w:p>
      <w:pPr>
        <w:pStyle w:val="style0"/>
        <w:tabs>
          <w:tab w:val="left" w:leader="none" w:pos="9214"/>
          <w:tab w:val="left" w:leader="none" w:pos="9639"/>
        </w:tabs>
        <w:rPr>
          <w:rFonts w:ascii="Century Gothic" w:hAnsi="Century Gothic"/>
        </w:rPr>
      </w:pPr>
    </w:p>
    <w:tbl>
      <w:tblPr>
        <w:tblW w:w="9923" w:type="dxa"/>
        <w:tblInd w:w="-10" w:type="dxa"/>
        <w:tblLayout w:type="fixed"/>
        <w:tblCellMar>
          <w:left w:w="70" w:type="dxa"/>
          <w:right w:w="70" w:type="dxa"/>
        </w:tblCellMar>
        <w:tblLook w:val="04A0" w:firstRow="1" w:lastRow="0" w:firstColumn="1" w:lastColumn="0" w:noHBand="0" w:noVBand="1"/>
      </w:tblPr>
      <w:tblGrid>
        <w:gridCol w:w="2127"/>
        <w:gridCol w:w="4633"/>
        <w:gridCol w:w="1320"/>
        <w:gridCol w:w="992"/>
        <w:gridCol w:w="851"/>
      </w:tblGrid>
      <w:tr>
        <w:trPr>
          <w:trHeight w:val="540" w:hRule="atLeast"/>
          <w:tblHeader/>
        </w:trPr>
        <w:tc>
          <w:tcPr>
            <w:tcW w:w="2127" w:type="dxa"/>
            <w:tcBorders>
              <w:top w:val="single" w:sz="8" w:space="0" w:color="auto"/>
              <w:left w:val="single" w:sz="8" w:space="0" w:color="auto"/>
              <w:bottom w:val="single" w:sz="8" w:space="0" w:color="auto"/>
              <w:right w:val="single" w:sz="8"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Composantes </w:t>
            </w:r>
          </w:p>
        </w:tc>
        <w:tc>
          <w:tcPr>
            <w:tcW w:w="4633" w:type="dxa"/>
            <w:tcBorders>
              <w:top w:val="single" w:sz="8" w:space="0" w:color="auto"/>
              <w:left w:val="nil"/>
              <w:bottom w:val="single" w:sz="8" w:space="0" w:color="auto"/>
              <w:right w:val="single" w:sz="8"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Activités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Mode de passation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Montant estimé</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Durée (mois)</w:t>
            </w:r>
          </w:p>
        </w:tc>
      </w:tr>
      <w:tr>
        <w:tblPrEx/>
        <w:trPr>
          <w:trHeight w:val="48" w:hRule="atLeast"/>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     Activités directement liée à la réduction des émissions de gaz à effet de serre dans la forêt de Gonré</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Sous-Activité 4.1.2.1.1.1. Appuyer la production des plants dans l’espace de conservation de Gonré </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6 250 000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155" w:hRule="atLeast"/>
        </w:trPr>
        <w:tc>
          <w:tcPr>
            <w:tcW w:w="2127"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Sous-Activité 4.1.2.1.1.2. Réaliser des plantations d’enrichissement/délimitation de la forêt de Gonré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4 185 000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Sous-Activité 4.1.2.1.1.3.  Réaliser des plantations individuelles dans les villages riverains dans l’espace de conservation de Gonré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13 500 000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xml:space="preserve">Sous-Activité 4.1.2.1.1.4. Mettre en place un comité villageois de gestion de la forêt villageoise de Gonré. </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xml:space="preserve">Sous-Activité 4.1.2.1.1.4. Mettre en place un comité villageois de gestion de la forêt villageoise de Gonré. </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Sous-Activité 4.1.2.1.1.6. Elaborer une charte locale de foncière de la forêt de Gonré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2 100 000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Sous-Activité 4.1.2.1.1.7. Réaliser le bornage de la forêt villageoise de Gonré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840 000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xml:space="preserve">Sous-Activité 4.1.2.1.1.8. Confectionner et fixer cinq (5) de panneaux d'information et de sensibilisation sur la forêt de Gonré </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1</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29 325 000</w:t>
            </w:r>
          </w:p>
        </w:tc>
        <w:tc>
          <w:tcPr>
            <w:tcW w:w="851"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color w:val="000000"/>
                <w:sz w:val="16"/>
                <w:szCs w:val="16"/>
              </w:rPr>
            </w:pPr>
            <w:r>
              <w:rPr>
                <w:rFonts w:ascii="Century Gothic" w:cs="Calibri" w:hAnsi="Century Gothic"/>
                <w:b/>
                <w:color w:val="000000"/>
                <w:sz w:val="16"/>
                <w:szCs w:val="16"/>
              </w:rPr>
              <w:t>2 Activités induites d’amélioration des productivités et des revenus dans les espaces de conservation de Gonré, forêt de Zecco et Baré</w:t>
            </w: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4.1.2.2.1. Appuyer 100 producteurs à la production et à l’utilisation du compost dans l’espace de conservation de Gonré (Gonré et zenko-yarcé)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2 475 000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4.1.2.2.2. Appuyer 100 producteurs la fauche et conservation du fourrage naturel dans les villages riverains de l‘espace de conservation de Gonré (Gonré et zenko-yarcé)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15 375 000</w:t>
            </w:r>
          </w:p>
        </w:tc>
        <w:tc>
          <w:tcPr>
            <w:tcW w:w="851"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114"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4.1.2.2.3. Appuyer l’apiculture moderne au profit de 20 jeunes et femmes dans l’espace de conservation de Gonré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3 475 000</w:t>
            </w:r>
          </w:p>
        </w:tc>
        <w:tc>
          <w:tcPr>
            <w:tcW w:w="851"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xml:space="preserve">Activité 4.1.2.2.4. Mettre en place un périmètre maraîcher au profit de la coopérative féminine Song Taaba Maboltenga de Gonré </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13 240 000</w:t>
            </w:r>
          </w:p>
        </w:tc>
        <w:tc>
          <w:tcPr>
            <w:tcW w:w="851"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2</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34 565 000</w:t>
            </w:r>
          </w:p>
        </w:tc>
        <w:tc>
          <w:tcPr>
            <w:tcW w:w="851"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3. Activités de renforcement des capacités d’adaptation aux activités et responsabilités dans l’espace de conservation de Gonré</w:t>
            </w: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4.1.2.3.1 : Former 30 élus locaux et leaders villageois de la commune de Zecco sur la gouvernance locale et en législations environnementales</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1 895 000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330"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4.1.2.3.2 : Organiser onze (11) séances d'information et de sensibilisation sur la sécurisation foncière dans la commune de Zecco</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1 625 000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4.1.2.3.3. Former 200 producteurs en technique de plantation et entretien des espèces végétales dans l’espace de conservation de Gonré (Gonré et zenko-yarcé)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xml:space="preserve">Activité 4.1.2.3.4. Former 100 producteurs à la production et à l’utilisation du compost dans l’espace de conservation de Gonré: </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4.1.2.3.5. Former 100 producteurs en technique de fauche et de conservation de fourrage naturel dans l’espace de conservation de Gonré.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4.1.2.3.6. Former 20 producteurs en techniques apicoles modernes dans l’espace de conservation de Gonré.</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2 050 000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172" w:hRule="atLeast"/>
        </w:trPr>
        <w:tc>
          <w:tcPr>
            <w:tcW w:w="212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6"/>
                <w:szCs w:val="16"/>
              </w:rPr>
            </w:pP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xml:space="preserve">Activité 4.1.2.3.7. Former 30 membres du groupement féminin Song Taaba Maboltenga en techniques de production maraîchère de Gonré. </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2127"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4633"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3</w:t>
            </w:r>
          </w:p>
        </w:tc>
        <w:tc>
          <w:tcPr>
            <w:tcW w:w="132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12 170 000</w:t>
            </w:r>
          </w:p>
        </w:tc>
        <w:tc>
          <w:tcPr>
            <w:tcW w:w="851"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r>
      <w:tr>
        <w:tblPrEx/>
        <w:trPr>
          <w:trHeight w:val="58" w:hRule="atLeast"/>
        </w:trPr>
        <w:tc>
          <w:tcPr>
            <w:tcW w:w="2127" w:type="dxa"/>
            <w:tcBorders>
              <w:top w:val="nil"/>
              <w:left w:val="single" w:sz="4" w:space="0" w:color="auto"/>
              <w:bottom w:val="single" w:sz="4" w:space="0" w:color="auto"/>
              <w:right w:val="single" w:sz="4" w:space="0" w:color="auto"/>
            </w:tcBorders>
            <w:shd w:val="clear" w:color="000000" w:fill="92d050"/>
            <w:noWrap/>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Site de Gonré</w:t>
            </w:r>
          </w:p>
        </w:tc>
        <w:tc>
          <w:tcPr>
            <w:tcW w:w="4633" w:type="dxa"/>
            <w:tcBorders>
              <w:top w:val="nil"/>
              <w:left w:val="nil"/>
              <w:bottom w:val="single" w:sz="4" w:space="0" w:color="auto"/>
              <w:right w:val="single" w:sz="4" w:space="0" w:color="auto"/>
            </w:tcBorders>
            <w:shd w:val="clear" w:color="000000" w:fill="92d050"/>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1320" w:type="dxa"/>
            <w:tcBorders>
              <w:top w:val="nil"/>
              <w:left w:val="nil"/>
              <w:bottom w:val="single" w:sz="4" w:space="0" w:color="auto"/>
              <w:right w:val="single" w:sz="4" w:space="0" w:color="auto"/>
            </w:tcBorders>
            <w:shd w:val="clear" w:color="000000" w:fill="92d050"/>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top w:val="nil"/>
              <w:left w:val="nil"/>
              <w:bottom w:val="single" w:sz="4" w:space="0" w:color="auto"/>
              <w:right w:val="single" w:sz="4" w:space="0" w:color="auto"/>
            </w:tcBorders>
            <w:shd w:val="clear" w:color="000000" w:fill="92d050"/>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76 060 000</w:t>
            </w:r>
          </w:p>
        </w:tc>
        <w:tc>
          <w:tcPr>
            <w:tcW w:w="851" w:type="dxa"/>
            <w:tcBorders>
              <w:top w:val="nil"/>
              <w:left w:val="nil"/>
              <w:bottom w:val="single" w:sz="4" w:space="0" w:color="auto"/>
              <w:right w:val="single" w:sz="4" w:space="0" w:color="auto"/>
            </w:tcBorders>
            <w:shd w:val="clear" w:color="000000" w:fill="92d050"/>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bl>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rPr>
          <w:rFonts w:ascii="Century Gothic" w:hAnsi="Century Gothic"/>
        </w:rPr>
      </w:pPr>
    </w:p>
    <w:bookmarkStart w:id="43" w:name="_Toc82049144"/>
    <w:p>
      <w:pPr>
        <w:pStyle w:val="style34"/>
        <w:rPr>
          <w:rFonts w:ascii="Century Gothic" w:hAnsi="Century Gothic"/>
          <w:b w:val="false"/>
          <w:color w:val="auto"/>
          <w:sz w:val="22"/>
          <w:szCs w:val="22"/>
        </w:rPr>
      </w:pPr>
      <w:r>
        <w:rPr>
          <w:rFonts w:ascii="Century Gothic" w:hAnsi="Century Gothic"/>
          <w:b w:val="false"/>
          <w:color w:val="auto"/>
        </w:rPr>
        <w:t>4.</w:t>
      </w:r>
      <w:r>
        <w:rPr>
          <w:rFonts w:ascii="Century Gothic" w:hAnsi="Century Gothic"/>
          <w:b w:val="false"/>
          <w:color w:val="auto"/>
        </w:rPr>
        <w:t>7</w:t>
      </w:r>
      <w:r>
        <w:rPr>
          <w:rFonts w:ascii="Century Gothic" w:hAnsi="Century Gothic"/>
          <w:b w:val="false"/>
          <w:color w:val="auto"/>
        </w:rPr>
        <w:t>.2</w:t>
      </w:r>
      <w:r>
        <w:rPr>
          <w:rFonts w:ascii="Century Gothic" w:hAnsi="Century Gothic"/>
          <w:b w:val="false"/>
        </w:rPr>
        <w:t xml:space="preserve">. </w:t>
      </w: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VI</w:t>
      </w:r>
      <w:r>
        <w:rPr>
          <w:rFonts w:ascii="Century Gothic" w:hAnsi="Century Gothic"/>
          <w:color w:val="auto"/>
          <w:sz w:val="22"/>
          <w:szCs w:val="22"/>
        </w:rPr>
        <w:fldChar w:fldCharType="end"/>
      </w:r>
      <w:r>
        <w:rPr>
          <w:rFonts w:ascii="Century Gothic" w:hAnsi="Century Gothic"/>
          <w:color w:val="auto"/>
          <w:sz w:val="22"/>
          <w:szCs w:val="22"/>
        </w:rPr>
        <w:t>: Activités de l’espace de conservation de la forêt communale de Zecco</w:t>
      </w:r>
      <w:bookmarkEnd w:id="43"/>
    </w:p>
    <w:p>
      <w:pPr>
        <w:pStyle w:val="style0"/>
        <w:rPr>
          <w:rFonts w:ascii="Century Gothic" w:hAnsi="Century Gothic"/>
        </w:rPr>
      </w:pPr>
    </w:p>
    <w:tbl>
      <w:tblPr>
        <w:tblW w:w="100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0"/>
        <w:gridCol w:w="4967"/>
        <w:gridCol w:w="1412"/>
        <w:gridCol w:w="992"/>
        <w:gridCol w:w="709"/>
      </w:tblGrid>
      <w:tr>
        <w:trPr>
          <w:trHeight w:val="58" w:hRule="atLeast"/>
        </w:trPr>
        <w:tc>
          <w:tcPr>
            <w:tcW w:w="1990"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Composantes </w:t>
            </w:r>
          </w:p>
        </w:tc>
        <w:tc>
          <w:tcPr>
            <w:tcW w:w="4967"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Activités</w:t>
            </w:r>
          </w:p>
        </w:tc>
        <w:tc>
          <w:tcPr>
            <w:tcW w:w="1412"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Mode de passation</w:t>
            </w:r>
          </w:p>
        </w:tc>
        <w:tc>
          <w:tcPr>
            <w:tcW w:w="992"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Montant estimé</w:t>
            </w:r>
          </w:p>
        </w:tc>
        <w:tc>
          <w:tcPr>
            <w:tcW w:w="709"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Durée (mois)</w:t>
            </w:r>
          </w:p>
        </w:tc>
      </w:tr>
      <w:tr>
        <w:tblPrEx/>
        <w:trPr>
          <w:trHeight w:val="58" w:hRule="atLeast"/>
        </w:trPr>
        <w:tc>
          <w:tcPr>
            <w:tcW w:w="1990" w:type="dxa"/>
            <w:tcBorders/>
            <w:shd w:val="clear" w:color="000000" w:fill="d9d9d9"/>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4967" w:type="dxa"/>
            <w:tcBorders/>
            <w:shd w:val="clear" w:color="000000" w:fill="d9d9d9"/>
            <w:vAlign w:val="center"/>
            <w:hideMark/>
          </w:tcPr>
          <w:p>
            <w:pPr>
              <w:pStyle w:val="style179"/>
              <w:numPr>
                <w:ilvl w:val="0"/>
                <w:numId w:val="14"/>
              </w:numPr>
              <w:jc w:val="both"/>
              <w:rPr>
                <w:rFonts w:ascii="Century Gothic" w:cs="Calibri" w:hAnsi="Century Gothic"/>
                <w:b/>
                <w:bCs/>
                <w:color w:val="000000"/>
                <w:sz w:val="16"/>
                <w:szCs w:val="16"/>
              </w:rPr>
            </w:pPr>
            <w:r>
              <w:rPr>
                <w:rFonts w:ascii="Century Gothic" w:cs="Calibri" w:hAnsi="Century Gothic"/>
                <w:b/>
                <w:bCs/>
                <w:color w:val="000000"/>
                <w:sz w:val="16"/>
                <w:szCs w:val="16"/>
              </w:rPr>
              <w:t>Activités directement liée à la réduction des émissions de gaz à effet de serre</w:t>
            </w:r>
          </w:p>
        </w:tc>
        <w:tc>
          <w:tcPr>
            <w:tcW w:w="1412" w:type="dxa"/>
            <w:tcBorders/>
            <w:shd w:val="clear" w:color="000000" w:fill="d9d9d9"/>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shd w:val="clear" w:color="000000" w:fill="d9d9d9"/>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shd w:val="clear" w:color="000000" w:fill="d9d9d9"/>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restart"/>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p>
            <w:pPr>
              <w:pStyle w:val="style0"/>
              <w:jc w:val="center"/>
              <w:rPr>
                <w:rFonts w:ascii="Century Gothic" w:cs="Calibri" w:hAnsi="Century Gothic"/>
                <w:color w:val="000000"/>
                <w:sz w:val="16"/>
                <w:szCs w:val="16"/>
              </w:rPr>
            </w:pPr>
            <w:r>
              <w:rPr>
                <w:rFonts w:ascii="Century Gothic" w:cs="Calibri" w:hAnsi="Century Gothic"/>
                <w:b/>
                <w:bCs/>
                <w:color w:val="000000"/>
                <w:sz w:val="16"/>
                <w:szCs w:val="16"/>
              </w:rPr>
              <w:t>1.     Activités directement liée à la réduction des émissions de gaz à effet de serre dans l'espace de conservation de Zecco</w:t>
            </w: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4.1.2.1.1.1. Réaliser des plantations d’enrichissement/délimitation de la forêt de Zecco  </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3 937 500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shd w:val="clear" w:color="auto" w:fill="auto"/>
            <w:vAlign w:val="center"/>
            <w:hideMark/>
          </w:tcPr>
          <w:p>
            <w:pPr>
              <w:pStyle w:val="style0"/>
              <w:jc w:val="center"/>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4.1.2.1.1.2.  Réaliser des plantations individuelles dans les villages riverains dans l’espace de conservation de Zecco (villages de Baré et Guian).</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13 500 000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4.1.2.1.1.3. Mettre en place un comité villageois de gestion dans l’espace de conservation de Zecco. </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500 000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4.1.2.1.1.4. Former/ recycler 07 membres (06H et 01 F) du comité de gestion / suivi de la charte sur leurs attributions dans l’espace de conservation de Zecco. </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4.1.2.1.1.5. Elaborer une charte locale de foncière de la forêt de Zecco</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2 850 000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4.1.2.1.1.6. Réaliser le bornage de la forêt villageoise de Zecco</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700 000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4.1.2.1.1.7. Confectionner et fixer cinq (5) de panneaux d'information et de sensibilisation sur la forêt de Baré</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300 000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4967" w:type="dxa"/>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Total 1</w:t>
            </w:r>
          </w:p>
        </w:tc>
        <w:tc>
          <w:tcPr>
            <w:tcW w:w="1412"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shd w:val="clear" w:color="auto" w:fill="auto"/>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23 437 500</w:t>
            </w:r>
          </w:p>
        </w:tc>
        <w:tc>
          <w:tcPr>
            <w:tcW w:w="709" w:type="dxa"/>
            <w:tcBorders/>
            <w:shd w:val="clear" w:color="auto" w:fill="auto"/>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0</w:t>
            </w:r>
          </w:p>
        </w:tc>
      </w:tr>
      <w:tr>
        <w:tblPrEx/>
        <w:trPr>
          <w:trHeight w:val="138" w:hRule="atLeast"/>
        </w:trPr>
        <w:tc>
          <w:tcPr>
            <w:tcW w:w="1990" w:type="dxa"/>
            <w:vMerge w:val="restart"/>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2 Activités induites d’amélioration des productivités et des revenus dans l’espace de conservation de conservation de Zecco (villages de Baré et Guian).</w:t>
            </w: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4.1.2.2.1. Appuyer 100 producteurs à la production et à l’utilisation du compost dans l’espace de conservation de Zecco (villages de Baré et Guian).</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2 475 000</w:t>
            </w:r>
          </w:p>
        </w:tc>
        <w:tc>
          <w:tcPr>
            <w:tcW w:w="709" w:type="dxa"/>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104"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4.1.2.2.2. Appuyer 100 producteurs la fauche et conservation du fourrage naturel dans les villages riverains de l‘espace de conservation de Zecco (villages de Baré et Guian)</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15 375 000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4.1.2.2.3. Appuyer l’aviculture villageoise au profit de la coopérative Baré sakia de Baré </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2 625 000</w:t>
            </w:r>
          </w:p>
        </w:tc>
        <w:tc>
          <w:tcPr>
            <w:tcW w:w="709"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4967" w:type="dxa"/>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Total 2</w:t>
            </w:r>
          </w:p>
        </w:tc>
        <w:tc>
          <w:tcPr>
            <w:tcW w:w="1412" w:type="dxa"/>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shd w:val="clear" w:color="auto" w:fill="auto"/>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20 475 000</w:t>
            </w:r>
          </w:p>
        </w:tc>
        <w:tc>
          <w:tcPr>
            <w:tcW w:w="709" w:type="dxa"/>
            <w:tcBorders/>
            <w:shd w:val="clear" w:color="auto" w:fill="auto"/>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0</w:t>
            </w:r>
          </w:p>
        </w:tc>
      </w:tr>
      <w:tr>
        <w:tblPrEx/>
        <w:trPr>
          <w:trHeight w:val="266" w:hRule="atLeast"/>
        </w:trPr>
        <w:tc>
          <w:tcPr>
            <w:tcW w:w="1990" w:type="dxa"/>
            <w:vMerge w:val="restart"/>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3. Activités de renforcement des capacités d’adaptation aux activités et responsabilités dans l’espace de conservation de conservation de Zecco (villages de Baré et Guian).</w:t>
            </w: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4.1.2.3.1. Former 200 producteurs en technique de plantation et entretien des espèces végétales dans l’espace de conservation de Zecco (villages de Baré et Guian).</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1 650 000</w:t>
            </w:r>
          </w:p>
        </w:tc>
        <w:tc>
          <w:tcPr>
            <w:tcW w:w="709" w:type="dxa"/>
            <w:tcBorders/>
            <w:shd w:val="clear" w:color="auto" w:fill="auto"/>
            <w:noWrap/>
            <w:vAlign w:val="bottom"/>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4.1.2.3.2. Former 100 producteurs à la production et à l’utilisation du compost dans l’espace de conservation de Zecco (villages de Baré et Guian).</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1 050 000</w:t>
            </w:r>
          </w:p>
        </w:tc>
        <w:tc>
          <w:tcPr>
            <w:tcW w:w="709"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4.1.2.3.3. Former 100 producteurs en technique de fauche et de conservation de fourrage naturel dans l’espace de conservation de Zecco (villages de Baré et Guian).</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1 050 000</w:t>
            </w:r>
          </w:p>
        </w:tc>
        <w:tc>
          <w:tcPr>
            <w:tcW w:w="709"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r>
      <w:tr>
        <w:tblPrEx/>
        <w:trPr>
          <w:trHeight w:val="58" w:hRule="atLeast"/>
        </w:trPr>
        <w:tc>
          <w:tcPr>
            <w:tcW w:w="1990" w:type="dxa"/>
            <w:vMerge w:val="continue"/>
            <w:tcBorders/>
            <w:vAlign w:val="center"/>
            <w:hideMark/>
          </w:tcPr>
          <w:p>
            <w:pPr>
              <w:pStyle w:val="style0"/>
              <w:rPr>
                <w:rFonts w:ascii="Century Gothic" w:cs="Calibri" w:hAnsi="Century Gothic"/>
                <w:b/>
                <w:bCs/>
                <w:color w:val="000000"/>
                <w:sz w:val="16"/>
                <w:szCs w:val="16"/>
              </w:rPr>
            </w:pPr>
          </w:p>
        </w:tc>
        <w:tc>
          <w:tcPr>
            <w:tcW w:w="4967" w:type="dxa"/>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4.1.2.3.4. Former 30 membres de la coopérative Baré sakia du village Baré en aviculture. </w:t>
            </w:r>
          </w:p>
        </w:tc>
        <w:tc>
          <w:tcPr>
            <w:tcW w:w="141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1 030 000</w:t>
            </w:r>
          </w:p>
        </w:tc>
        <w:tc>
          <w:tcPr>
            <w:tcW w:w="709"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r>
      <w:tr>
        <w:tblPrEx/>
        <w:trPr>
          <w:trHeight w:val="58" w:hRule="atLeast"/>
        </w:trPr>
        <w:tc>
          <w:tcPr>
            <w:tcW w:w="1990" w:type="dxa"/>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4967" w:type="dxa"/>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Total 3</w:t>
            </w:r>
          </w:p>
        </w:tc>
        <w:tc>
          <w:tcPr>
            <w:tcW w:w="1412"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992"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4 780 000</w:t>
            </w:r>
          </w:p>
        </w:tc>
        <w:tc>
          <w:tcPr>
            <w:tcW w:w="709" w:type="dxa"/>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 </w:t>
            </w:r>
          </w:p>
        </w:tc>
      </w:tr>
      <w:tr>
        <w:tblPrEx/>
        <w:trPr>
          <w:trHeight w:val="504" w:hRule="atLeast"/>
        </w:trPr>
        <w:tc>
          <w:tcPr>
            <w:tcW w:w="1990" w:type="dxa"/>
            <w:tcBorders/>
            <w:shd w:val="clear" w:color="000000" w:fill="92d050"/>
            <w:noWrap/>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Site de la forêt communale de Zecco</w:t>
            </w:r>
          </w:p>
        </w:tc>
        <w:tc>
          <w:tcPr>
            <w:tcW w:w="4967" w:type="dxa"/>
            <w:tcBorders/>
            <w:shd w:val="clear" w:color="000000" w:fill="92d050"/>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1412" w:type="dxa"/>
            <w:tcBorders/>
            <w:shd w:val="clear" w:color="000000" w:fill="92d050"/>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shd w:val="clear" w:color="000000" w:fill="92d050"/>
            <w:noWrap/>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48 692 500</w:t>
            </w:r>
          </w:p>
        </w:tc>
        <w:tc>
          <w:tcPr>
            <w:tcW w:w="709" w:type="dxa"/>
            <w:tcBorders/>
            <w:shd w:val="clear" w:color="000000" w:fill="92d050"/>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bl>
    <w:p>
      <w:pPr>
        <w:pStyle w:val="style0"/>
        <w:rPr>
          <w:rFonts w:ascii="Century Gothic" w:hAnsi="Century Gothic"/>
        </w:rPr>
      </w:pPr>
    </w:p>
    <w:bookmarkStart w:id="44" w:name="_Toc82049145"/>
    <w:p>
      <w:pPr>
        <w:pStyle w:val="style34"/>
        <w:rPr>
          <w:rFonts w:ascii="Century Gothic" w:hAnsi="Century Gothic"/>
          <w:b w:val="false"/>
        </w:rPr>
      </w:pPr>
      <w:r>
        <w:rPr>
          <w:rFonts w:ascii="Century Gothic" w:hAnsi="Century Gothic"/>
          <w:b w:val="false"/>
          <w:color w:val="auto"/>
        </w:rPr>
        <w:t>4.</w:t>
      </w:r>
      <w:r>
        <w:rPr>
          <w:rFonts w:ascii="Century Gothic" w:hAnsi="Century Gothic"/>
          <w:b w:val="false"/>
          <w:color w:val="auto"/>
        </w:rPr>
        <w:t>7</w:t>
      </w:r>
      <w:r>
        <w:rPr>
          <w:rFonts w:ascii="Century Gothic" w:hAnsi="Century Gothic"/>
          <w:b w:val="false"/>
          <w:color w:val="auto"/>
        </w:rPr>
        <w:t xml:space="preserve">.3. </w:t>
      </w: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VII</w:t>
      </w:r>
      <w:r>
        <w:rPr>
          <w:rFonts w:ascii="Century Gothic" w:hAnsi="Century Gothic"/>
          <w:color w:val="auto"/>
          <w:sz w:val="22"/>
          <w:szCs w:val="22"/>
        </w:rPr>
        <w:fldChar w:fldCharType="end"/>
      </w:r>
      <w:r>
        <w:rPr>
          <w:rFonts w:ascii="Century Gothic" w:hAnsi="Century Gothic"/>
          <w:color w:val="auto"/>
          <w:sz w:val="22"/>
          <w:szCs w:val="22"/>
        </w:rPr>
        <w:t>: Activités de l’espace de conservation de la forêt sacrée de Baré</w:t>
      </w:r>
      <w:bookmarkEnd w:id="44"/>
      <w:r>
        <w:rPr>
          <w:rFonts w:ascii="Century Gothic" w:hAnsi="Century Gothic"/>
          <w:b w:val="false"/>
          <w:color w:val="auto"/>
        </w:rPr>
        <w:t xml:space="preserve"> </w:t>
      </w:r>
    </w:p>
    <w:tbl>
      <w:tblPr>
        <w:tblW w:w="10065" w:type="dxa"/>
        <w:tblInd w:w="-10" w:type="dxa"/>
        <w:tblCellMar>
          <w:left w:w="70" w:type="dxa"/>
          <w:right w:w="70" w:type="dxa"/>
        </w:tblCellMar>
        <w:tblLook w:val="04A0" w:firstRow="1" w:lastRow="0" w:firstColumn="1" w:lastColumn="0" w:noHBand="0" w:noVBand="1"/>
      </w:tblPr>
      <w:tblGrid>
        <w:gridCol w:w="1985"/>
        <w:gridCol w:w="4961"/>
        <w:gridCol w:w="1418"/>
        <w:gridCol w:w="992"/>
        <w:gridCol w:w="709"/>
      </w:tblGrid>
      <w:tr>
        <w:trPr>
          <w:trHeight w:val="852" w:hRule="atLeast"/>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Composantes </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Activités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Mode de passation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Montant estimé</w:t>
            </w:r>
          </w:p>
        </w:tc>
        <w:tc>
          <w:tcPr>
            <w:tcW w:w="709"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Durée (mois)</w:t>
            </w:r>
          </w:p>
        </w:tc>
      </w:tr>
      <w:tr>
        <w:tblPrEx/>
        <w:trPr>
          <w:trHeight w:val="48" w:hRule="atLeast"/>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Activité de type 1 (permettant d’augmenter directement le stock de carbone)</w:t>
            </w:r>
          </w:p>
        </w:tc>
        <w:tc>
          <w:tcPr>
            <w:tcW w:w="8080" w:type="dxa"/>
            <w:gridSpan w:val="4"/>
            <w:tcBorders>
              <w:top w:val="single" w:sz="4" w:space="0" w:color="auto"/>
              <w:left w:val="nil"/>
              <w:bottom w:val="single" w:sz="4" w:space="0" w:color="auto"/>
              <w:right w:val="single" w:sz="4" w:space="0" w:color="auto"/>
            </w:tcBorders>
            <w:shd w:val="clear" w:color="auto" w:fill="auto"/>
            <w:vAlign w:val="center"/>
            <w:hideMark/>
          </w:tcPr>
          <w:p>
            <w:pPr>
              <w:pStyle w:val="style179"/>
              <w:numPr>
                <w:ilvl w:val="0"/>
                <w:numId w:val="15"/>
              </w:numPr>
              <w:jc w:val="center"/>
              <w:rPr>
                <w:rFonts w:ascii="Century Gothic" w:cs="Calibri" w:hAnsi="Century Gothic"/>
                <w:b/>
                <w:bCs/>
                <w:color w:val="000000"/>
                <w:sz w:val="16"/>
                <w:szCs w:val="16"/>
              </w:rPr>
            </w:pPr>
            <w:r>
              <w:rPr>
                <w:rFonts w:ascii="Century Gothic" w:cs="Calibri" w:hAnsi="Century Gothic"/>
                <w:b/>
                <w:bCs/>
                <w:color w:val="000000"/>
                <w:sz w:val="16"/>
                <w:szCs w:val="16"/>
              </w:rPr>
              <w:t>Activités directement liée à la réduction des émissions de gaz à effet de serre</w:t>
            </w:r>
          </w:p>
        </w:tc>
      </w:tr>
      <w:tr>
        <w:tblPrEx/>
        <w:trPr>
          <w:trHeight w:val="58" w:hRule="atLeast"/>
        </w:trPr>
        <w:tc>
          <w:tcPr>
            <w:tcW w:w="198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Century Gothic" w:cs="Calibri" w:hAnsi="Century Gothic"/>
                <w:color w:val="000000"/>
                <w:sz w:val="16"/>
                <w:szCs w:val="16"/>
              </w:rPr>
            </w:pPr>
          </w:p>
        </w:tc>
        <w:tc>
          <w:tcPr>
            <w:tcW w:w="4961"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xml:space="preserve">Activité 3.4.1. Réaliser des plantations d’enrichissement/délimitation de la forêt sacrée de Baré (1,97 hectares) </w:t>
            </w:r>
          </w:p>
        </w:tc>
        <w:tc>
          <w:tcPr>
            <w:tcW w:w="141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90 000</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8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Century Gothic" w:cs="Calibri" w:hAnsi="Century Gothic"/>
                <w:color w:val="000000"/>
                <w:sz w:val="16"/>
                <w:szCs w:val="16"/>
              </w:rPr>
            </w:pPr>
          </w:p>
        </w:tc>
        <w:tc>
          <w:tcPr>
            <w:tcW w:w="4961"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3.4.2. Réaliser le bornage de la forêt villageoise sacrée de Baré</w:t>
            </w:r>
          </w:p>
        </w:tc>
        <w:tc>
          <w:tcPr>
            <w:tcW w:w="141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385 000</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8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Century Gothic" w:cs="Calibri" w:hAnsi="Century Gothic"/>
                <w:color w:val="000000"/>
                <w:sz w:val="16"/>
                <w:szCs w:val="16"/>
              </w:rPr>
            </w:pPr>
          </w:p>
        </w:tc>
        <w:tc>
          <w:tcPr>
            <w:tcW w:w="4961"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Activité 4.3.3. Confectionner et fixer deux (2) de panneaux d'information et de sensibilisation sur la forêt sacrés de Baré</w:t>
            </w:r>
          </w:p>
        </w:tc>
        <w:tc>
          <w:tcPr>
            <w:tcW w:w="141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Procédures de la commune</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120 000</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58" w:hRule="atLeast"/>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4961"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 xml:space="preserve">Total </w:t>
            </w:r>
          </w:p>
        </w:tc>
        <w:tc>
          <w:tcPr>
            <w:tcW w:w="1418"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right"/>
              <w:rPr>
                <w:rFonts w:ascii="Century Gothic" w:cs="Calibri" w:hAnsi="Century Gothic"/>
                <w:b/>
                <w:bCs/>
                <w:color w:val="000000"/>
                <w:sz w:val="16"/>
                <w:szCs w:val="16"/>
              </w:rPr>
            </w:pPr>
            <w:r>
              <w:rPr>
                <w:rFonts w:ascii="Century Gothic" w:cs="Calibri" w:hAnsi="Century Gothic"/>
                <w:b/>
                <w:bCs/>
                <w:color w:val="000000"/>
                <w:sz w:val="16"/>
                <w:szCs w:val="16"/>
              </w:rPr>
              <w:t>595 000</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648" w:hRule="atLeast"/>
        </w:trPr>
        <w:tc>
          <w:tcPr>
            <w:tcW w:w="1985" w:type="dxa"/>
            <w:tcBorders>
              <w:top w:val="nil"/>
              <w:left w:val="single" w:sz="4" w:space="0" w:color="auto"/>
              <w:bottom w:val="single" w:sz="4" w:space="0" w:color="auto"/>
              <w:right w:val="single" w:sz="4" w:space="0" w:color="auto"/>
            </w:tcBorders>
            <w:shd w:val="clear" w:color="000000" w:fill="92d050"/>
            <w:noWrap/>
            <w:vAlign w:val="center"/>
            <w:hideMark/>
          </w:tcPr>
          <w:p>
            <w:pPr>
              <w:pStyle w:val="style0"/>
              <w:rPr>
                <w:rFonts w:ascii="Century Gothic" w:cs="Calibri" w:hAnsi="Century Gothic"/>
                <w:b/>
                <w:bCs/>
                <w:color w:val="000000"/>
                <w:sz w:val="16"/>
                <w:szCs w:val="16"/>
              </w:rPr>
            </w:pPr>
            <w:r>
              <w:rPr>
                <w:rFonts w:ascii="Century Gothic" w:cs="Calibri" w:hAnsi="Century Gothic"/>
                <w:b/>
                <w:bCs/>
                <w:color w:val="000000"/>
                <w:sz w:val="16"/>
                <w:szCs w:val="16"/>
              </w:rPr>
              <w:t>Total Site Sacré de Baré</w:t>
            </w:r>
          </w:p>
        </w:tc>
        <w:tc>
          <w:tcPr>
            <w:tcW w:w="4961" w:type="dxa"/>
            <w:tcBorders>
              <w:top w:val="nil"/>
              <w:left w:val="nil"/>
              <w:bottom w:val="single" w:sz="4" w:space="0" w:color="auto"/>
              <w:right w:val="single" w:sz="4" w:space="0" w:color="auto"/>
            </w:tcBorders>
            <w:shd w:val="clear" w:color="000000" w:fill="92d050"/>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1418" w:type="dxa"/>
            <w:tcBorders>
              <w:top w:val="nil"/>
              <w:left w:val="nil"/>
              <w:bottom w:val="single" w:sz="4" w:space="0" w:color="auto"/>
              <w:right w:val="single" w:sz="4" w:space="0" w:color="auto"/>
            </w:tcBorders>
            <w:shd w:val="clear" w:color="000000" w:fill="92d050"/>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c>
          <w:tcPr>
            <w:tcW w:w="992" w:type="dxa"/>
            <w:tcBorders>
              <w:top w:val="nil"/>
              <w:left w:val="nil"/>
              <w:bottom w:val="single" w:sz="4" w:space="0" w:color="auto"/>
              <w:right w:val="single" w:sz="4" w:space="0" w:color="auto"/>
            </w:tcBorders>
            <w:shd w:val="clear" w:color="000000" w:fill="92d050"/>
            <w:noWrap/>
            <w:vAlign w:val="center"/>
            <w:hideMark/>
          </w:tcPr>
          <w:p>
            <w:pPr>
              <w:pStyle w:val="style0"/>
              <w:jc w:val="right"/>
              <w:rPr>
                <w:rFonts w:ascii="Century Gothic" w:cs="Calibri" w:hAnsi="Century Gothic"/>
                <w:b/>
                <w:bCs/>
                <w:color w:val="000000"/>
                <w:sz w:val="16"/>
                <w:szCs w:val="16"/>
              </w:rPr>
            </w:pPr>
            <w:r>
              <w:rPr>
                <w:rFonts w:ascii="Century Gothic" w:cs="Calibri" w:hAnsi="Century Gothic"/>
                <w:b/>
                <w:bCs/>
                <w:color w:val="000000"/>
                <w:sz w:val="16"/>
                <w:szCs w:val="16"/>
              </w:rPr>
              <w:t>595 000</w:t>
            </w:r>
          </w:p>
        </w:tc>
        <w:tc>
          <w:tcPr>
            <w:tcW w:w="709" w:type="dxa"/>
            <w:tcBorders>
              <w:top w:val="nil"/>
              <w:left w:val="nil"/>
              <w:bottom w:val="single" w:sz="4" w:space="0" w:color="auto"/>
              <w:right w:val="single" w:sz="4" w:space="0" w:color="auto"/>
            </w:tcBorders>
            <w:shd w:val="clear" w:color="000000" w:fill="92d050"/>
            <w:noWrap/>
            <w:vAlign w:val="center"/>
            <w:hideMark/>
          </w:tcPr>
          <w:p>
            <w:pPr>
              <w:pStyle w:val="style0"/>
              <w:rPr>
                <w:rFonts w:ascii="Century Gothic" w:cs="Calibri" w:hAnsi="Century Gothic"/>
                <w:color w:val="000000"/>
                <w:sz w:val="16"/>
                <w:szCs w:val="16"/>
              </w:rPr>
            </w:pPr>
            <w:r>
              <w:rPr>
                <w:rFonts w:ascii="Century Gothic" w:cs="Calibri" w:hAnsi="Century Gothic"/>
                <w:color w:val="000000"/>
                <w:sz w:val="16"/>
                <w:szCs w:val="16"/>
              </w:rPr>
              <w:t> </w:t>
            </w:r>
          </w:p>
        </w:tc>
      </w:tr>
    </w:tbl>
    <w:p>
      <w:pPr>
        <w:pStyle w:val="style0"/>
        <w:rPr>
          <w:rFonts w:ascii="Century Gothic" w:hAnsi="Century Gothic"/>
        </w:rPr>
      </w:pPr>
    </w:p>
    <w:p>
      <w:pPr>
        <w:pStyle w:val="style2"/>
        <w:numPr>
          <w:ilvl w:val="0"/>
          <w:numId w:val="0"/>
        </w:numPr>
        <w:tabs>
          <w:tab w:val="left" w:leader="none" w:pos="9214"/>
          <w:tab w:val="left" w:leader="none" w:pos="9639"/>
        </w:tabs>
        <w:rPr>
          <w:rFonts w:ascii="Century Gothic" w:hAnsi="Century Gothic"/>
          <w:szCs w:val="24"/>
        </w:rPr>
      </w:pPr>
    </w:p>
    <w:bookmarkStart w:id="45" w:name="_Toc82049061"/>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8</w:t>
      </w:r>
      <w:r>
        <w:rPr>
          <w:rFonts w:ascii="Century Gothic" w:hAnsi="Century Gothic"/>
          <w:szCs w:val="24"/>
        </w:rPr>
        <w:t xml:space="preserve">. </w:t>
      </w:r>
      <w:r>
        <w:rPr>
          <w:rFonts w:ascii="Century Gothic" w:hAnsi="Century Gothic"/>
          <w:szCs w:val="24"/>
        </w:rPr>
        <w:t xml:space="preserve">Carte de localisation des investissements du PDIC/ REDD +  </w:t>
      </w:r>
      <w:r>
        <w:rPr>
          <w:rFonts w:ascii="Century Gothic" w:hAnsi="Century Gothic"/>
          <w:szCs w:val="24"/>
        </w:rPr>
        <w:t>par site</w:t>
      </w:r>
      <w:bookmarkEnd w:id="45"/>
    </w:p>
    <w:p>
      <w:pPr>
        <w:pStyle w:val="style0"/>
        <w:rPr>
          <w:rFonts w:ascii="Century Gothic" w:hAnsi="Century Gothic"/>
        </w:rPr>
      </w:pPr>
    </w:p>
    <w:p>
      <w:pPr>
        <w:pStyle w:val="style4253"/>
        <w:spacing w:after="0"/>
        <w:rPr>
          <w:rFonts w:ascii="Century Gothic" w:hAnsi="Century Gothic"/>
          <w:b w:val="false"/>
        </w:rPr>
      </w:pPr>
      <w:r>
        <w:rPr>
          <w:rFonts w:ascii="Century Gothic" w:hAnsi="Century Gothic"/>
          <w:b w:val="false"/>
        </w:rPr>
        <w:t>4.</w:t>
      </w:r>
      <w:r>
        <w:rPr>
          <w:rFonts w:ascii="Century Gothic" w:hAnsi="Century Gothic"/>
          <w:b w:val="false"/>
        </w:rPr>
        <w:t>8</w:t>
      </w:r>
      <w:r>
        <w:rPr>
          <w:rFonts w:ascii="Century Gothic" w:hAnsi="Century Gothic"/>
          <w:b w:val="false"/>
        </w:rPr>
        <w:t>.1. Localisation des investissements du PDIC/REDD+ dans l’espace de conservation de Gonré</w:t>
      </w:r>
    </w:p>
    <w:p>
      <w:pPr>
        <w:pStyle w:val="style4253"/>
        <w:spacing w:after="0"/>
        <w:jc w:val="center"/>
        <w:rPr>
          <w:rFonts w:ascii="Century Gothic" w:hAnsi="Century Gothic"/>
          <w:b w:val="false"/>
          <w:i w:val="false"/>
        </w:rPr>
      </w:pPr>
      <w:r>
        <w:rPr>
          <w:rFonts w:ascii="Century Gothic" w:hAnsi="Century Gothic"/>
          <w:b w:val="false"/>
          <w:i w:val="false"/>
          <w:noProof/>
        </w:rPr>
        <w:drawing>
          <wp:inline distL="0" distT="0" distB="0" distR="0">
            <wp:extent cx="5457825" cy="7719317"/>
            <wp:effectExtent l="0" t="0" r="0" b="0"/>
            <wp:docPr id="1043" name="Image 8" descr="F:\SIG\Consultation\GaMoWigna\Zecco\Localisation_investissement_FV_Gonré.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14" cstate="print"/>
                    <a:srcRect l="0" t="0" r="0" b="0"/>
                    <a:stretch/>
                  </pic:blipFill>
                  <pic:spPr>
                    <a:xfrm rot="0">
                      <a:off x="0" y="0"/>
                      <a:ext cx="5457825" cy="7719317"/>
                    </a:xfrm>
                    <a:prstGeom prst="rect"/>
                    <a:ln>
                      <a:noFill/>
                    </a:ln>
                  </pic:spPr>
                </pic:pic>
              </a:graphicData>
            </a:graphic>
          </wp:inline>
        </w:drawing>
      </w:r>
    </w:p>
    <w:bookmarkStart w:id="46" w:name="_Toc82049021"/>
    <w:p>
      <w:pPr>
        <w:pStyle w:val="style34"/>
        <w:jc w:val="center"/>
        <w:rPr>
          <w:rFonts w:ascii="Century Gothic" w:hAnsi="Century Gothic"/>
          <w:color w:val="auto"/>
          <w:sz w:val="20"/>
          <w:szCs w:val="20"/>
        </w:rPr>
      </w:pPr>
      <w:r>
        <w:rPr>
          <w:rFonts w:ascii="Century Gothic" w:hAnsi="Century Gothic"/>
          <w:color w:val="auto"/>
          <w:sz w:val="20"/>
          <w:szCs w:val="20"/>
        </w:rPr>
        <w:t xml:space="preserve">Figure </w:t>
      </w:r>
      <w:r>
        <w:rPr>
          <w:rFonts w:ascii="Century Gothic" w:hAnsi="Century Gothic"/>
          <w:color w:val="auto"/>
          <w:sz w:val="20"/>
          <w:szCs w:val="20"/>
        </w:rPr>
        <w:fldChar w:fldCharType="begin"/>
      </w:r>
      <w:r>
        <w:rPr>
          <w:rFonts w:ascii="Century Gothic" w:hAnsi="Century Gothic"/>
          <w:color w:val="auto"/>
          <w:sz w:val="20"/>
          <w:szCs w:val="20"/>
        </w:rPr>
        <w:instrText xml:space="preserve"> SEQ Figure \* ARABIC </w:instrText>
      </w:r>
      <w:r>
        <w:rPr>
          <w:rFonts w:ascii="Century Gothic" w:hAnsi="Century Gothic"/>
          <w:color w:val="auto"/>
          <w:sz w:val="20"/>
          <w:szCs w:val="20"/>
        </w:rPr>
        <w:fldChar w:fldCharType="separate"/>
      </w:r>
      <w:r>
        <w:rPr>
          <w:rFonts w:ascii="Century Gothic" w:hAnsi="Century Gothic"/>
          <w:noProof/>
          <w:color w:val="auto"/>
          <w:sz w:val="20"/>
          <w:szCs w:val="20"/>
        </w:rPr>
        <w:t>5</w:t>
      </w:r>
      <w:r>
        <w:rPr>
          <w:rFonts w:ascii="Century Gothic" w:hAnsi="Century Gothic"/>
          <w:color w:val="auto"/>
          <w:sz w:val="20"/>
          <w:szCs w:val="20"/>
        </w:rPr>
        <w:fldChar w:fldCharType="end"/>
      </w:r>
      <w:r>
        <w:rPr>
          <w:rFonts w:ascii="Century Gothic" w:hAnsi="Century Gothic"/>
          <w:color w:val="auto"/>
          <w:sz w:val="20"/>
          <w:szCs w:val="20"/>
        </w:rPr>
        <w:t>: Localisation des interventions autour de l'espace de conservation de Gonré</w:t>
      </w:r>
      <w:bookmarkEnd w:id="46"/>
    </w:p>
    <w:p>
      <w:pPr>
        <w:pStyle w:val="style4253"/>
        <w:spacing w:after="0"/>
        <w:rPr>
          <w:rFonts w:ascii="Century Gothic" w:hAnsi="Century Gothic"/>
          <w:b w:val="false"/>
        </w:rPr>
      </w:pPr>
      <w:r>
        <w:rPr>
          <w:rFonts w:ascii="Century Gothic" w:hAnsi="Century Gothic"/>
          <w:b w:val="false"/>
        </w:rPr>
        <w:t>4.</w:t>
      </w:r>
      <w:r>
        <w:rPr>
          <w:rFonts w:ascii="Century Gothic" w:hAnsi="Century Gothic"/>
          <w:b w:val="false"/>
        </w:rPr>
        <w:t>8</w:t>
      </w:r>
      <w:r>
        <w:rPr>
          <w:rFonts w:ascii="Century Gothic" w:hAnsi="Century Gothic"/>
          <w:b w:val="false"/>
        </w:rPr>
        <w:t>.2. Localisation des investissements dans l’espace de conservation de la forêt communale de Zecco</w:t>
      </w:r>
    </w:p>
    <w:p>
      <w:pPr>
        <w:pStyle w:val="style0"/>
        <w:jc w:val="center"/>
        <w:rPr>
          <w:rFonts w:ascii="Century Gothic" w:hAnsi="Century Gothic"/>
        </w:rPr>
      </w:pPr>
      <w:r>
        <w:rPr>
          <w:rFonts w:ascii="Century Gothic" w:hAnsi="Century Gothic"/>
          <w:noProof/>
        </w:rPr>
        <w:drawing>
          <wp:inline distL="0" distT="0" distB="0" distR="0">
            <wp:extent cx="5947017" cy="8411210"/>
            <wp:effectExtent l="0" t="0" r="0" b="8890"/>
            <wp:docPr id="1044" name="Image 23" descr="F:\SIG\Consultation\GaMoWigna\Zecco\Localisation_investissement_FC-Zecc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23"/>
                    <pic:cNvPicPr/>
                  </pic:nvPicPr>
                  <pic:blipFill>
                    <a:blip r:embed="rId15" cstate="print"/>
                    <a:srcRect l="0" t="0" r="0" b="0"/>
                    <a:stretch/>
                  </pic:blipFill>
                  <pic:spPr>
                    <a:xfrm rot="0">
                      <a:off x="0" y="0"/>
                      <a:ext cx="5947017" cy="8411210"/>
                    </a:xfrm>
                    <a:prstGeom prst="rect"/>
                    <a:ln>
                      <a:noFill/>
                    </a:ln>
                  </pic:spPr>
                </pic:pic>
              </a:graphicData>
            </a:graphic>
          </wp:inline>
        </w:drawing>
      </w:r>
    </w:p>
    <w:bookmarkStart w:id="47" w:name="_Toc82049022"/>
    <w:p>
      <w:pPr>
        <w:pStyle w:val="style34"/>
        <w:jc w:val="center"/>
        <w:rPr>
          <w:rFonts w:ascii="Century Gothic" w:hAnsi="Century Gothic"/>
          <w:color w:val="auto"/>
          <w:sz w:val="22"/>
          <w:szCs w:val="22"/>
        </w:rPr>
      </w:pPr>
      <w:r>
        <w:rPr>
          <w:rFonts w:ascii="Century Gothic" w:hAnsi="Century Gothic"/>
          <w:color w:val="auto"/>
          <w:sz w:val="22"/>
          <w:szCs w:val="22"/>
        </w:rPr>
        <w:t xml:space="preserve">Figure </w:t>
      </w:r>
      <w:r>
        <w:rPr>
          <w:rFonts w:ascii="Century Gothic" w:hAnsi="Century Gothic"/>
          <w:color w:val="auto"/>
          <w:sz w:val="22"/>
          <w:szCs w:val="22"/>
        </w:rPr>
        <w:fldChar w:fldCharType="begin"/>
      </w:r>
      <w:r>
        <w:rPr>
          <w:rFonts w:ascii="Century Gothic" w:hAnsi="Century Gothic"/>
          <w:color w:val="auto"/>
          <w:sz w:val="22"/>
          <w:szCs w:val="22"/>
        </w:rPr>
        <w:instrText xml:space="preserve"> SEQ Figure \* ARABIC </w:instrText>
      </w:r>
      <w:r>
        <w:rPr>
          <w:rFonts w:ascii="Century Gothic" w:hAnsi="Century Gothic"/>
          <w:color w:val="auto"/>
          <w:sz w:val="22"/>
          <w:szCs w:val="22"/>
        </w:rPr>
        <w:fldChar w:fldCharType="separate"/>
      </w:r>
      <w:r>
        <w:rPr>
          <w:rFonts w:ascii="Century Gothic" w:hAnsi="Century Gothic"/>
          <w:noProof/>
          <w:color w:val="auto"/>
          <w:sz w:val="22"/>
          <w:szCs w:val="22"/>
        </w:rPr>
        <w:t>6</w:t>
      </w:r>
      <w:r>
        <w:rPr>
          <w:rFonts w:ascii="Century Gothic" w:hAnsi="Century Gothic"/>
          <w:color w:val="auto"/>
          <w:sz w:val="22"/>
          <w:szCs w:val="22"/>
        </w:rPr>
        <w:fldChar w:fldCharType="end"/>
      </w:r>
      <w:r>
        <w:rPr>
          <w:rFonts w:ascii="Century Gothic" w:hAnsi="Century Gothic"/>
          <w:color w:val="auto"/>
          <w:sz w:val="22"/>
          <w:szCs w:val="22"/>
        </w:rPr>
        <w:t>: Localisation des interventions autour de l'espace de conservation Zécco</w:t>
      </w:r>
      <w:bookmarkEnd w:id="47"/>
    </w:p>
    <w:p>
      <w:pPr>
        <w:pStyle w:val="style4253"/>
        <w:spacing w:after="0"/>
        <w:rPr>
          <w:rFonts w:ascii="Century Gothic" w:hAnsi="Century Gothic"/>
          <w:b w:val="false"/>
        </w:rPr>
      </w:pPr>
      <w:r>
        <w:rPr>
          <w:rFonts w:ascii="Century Gothic" w:hAnsi="Century Gothic"/>
          <w:b w:val="false"/>
        </w:rPr>
        <w:t>4.</w:t>
      </w:r>
      <w:r>
        <w:rPr>
          <w:rFonts w:ascii="Century Gothic" w:hAnsi="Century Gothic"/>
          <w:b w:val="false"/>
        </w:rPr>
        <w:t>8</w:t>
      </w:r>
      <w:r>
        <w:rPr>
          <w:rFonts w:ascii="Century Gothic" w:hAnsi="Century Gothic"/>
          <w:b w:val="false"/>
        </w:rPr>
        <w:t>.3. Localisation des investissements dans l’espace de conservation de la forêt sacrée de Baré</w:t>
      </w:r>
    </w:p>
    <w:p>
      <w:pPr>
        <w:pStyle w:val="style0"/>
        <w:jc w:val="center"/>
        <w:rPr>
          <w:rFonts w:ascii="Century Gothic" w:hAnsi="Century Gothic"/>
        </w:rPr>
      </w:pPr>
      <w:r>
        <w:rPr>
          <w:rFonts w:ascii="Century Gothic" w:hAnsi="Century Gothic"/>
          <w:noProof/>
        </w:rPr>
        <w:drawing>
          <wp:inline distL="0" distT="0" distB="0" distR="0">
            <wp:extent cx="5872489" cy="8305799"/>
            <wp:effectExtent l="0" t="0" r="0" b="0"/>
            <wp:docPr id="1045" name="Image 27" descr="F:\SIG\Consultation\GaMoWigna\Zecco\Localisation_investissement_FV_Bare.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27"/>
                    <pic:cNvPicPr/>
                  </pic:nvPicPr>
                  <pic:blipFill>
                    <a:blip r:embed="rId16" cstate="print"/>
                    <a:srcRect l="0" t="0" r="0" b="0"/>
                    <a:stretch/>
                  </pic:blipFill>
                  <pic:spPr>
                    <a:xfrm rot="0">
                      <a:off x="0" y="0"/>
                      <a:ext cx="5872489" cy="8305799"/>
                    </a:xfrm>
                    <a:prstGeom prst="rect"/>
                    <a:ln>
                      <a:noFill/>
                    </a:ln>
                  </pic:spPr>
                </pic:pic>
              </a:graphicData>
            </a:graphic>
          </wp:inline>
        </w:drawing>
      </w:r>
    </w:p>
    <w:bookmarkStart w:id="48" w:name="_Toc82049023"/>
    <w:p>
      <w:pPr>
        <w:pStyle w:val="style34"/>
        <w:jc w:val="center"/>
        <w:rPr>
          <w:rFonts w:ascii="Century Gothic" w:hAnsi="Century Gothic"/>
          <w:b w:val="false"/>
          <w:bCs w:val="false"/>
          <w:iCs/>
          <w:color w:val="auto"/>
          <w:sz w:val="22"/>
          <w:szCs w:val="22"/>
        </w:rPr>
      </w:pPr>
      <w:r>
        <w:rPr>
          <w:rFonts w:ascii="Century Gothic" w:hAnsi="Century Gothic"/>
          <w:color w:val="auto"/>
          <w:sz w:val="22"/>
          <w:szCs w:val="22"/>
        </w:rPr>
        <w:t xml:space="preserve">Figure </w:t>
      </w:r>
      <w:r>
        <w:rPr>
          <w:rFonts w:ascii="Century Gothic" w:hAnsi="Century Gothic"/>
          <w:color w:val="auto"/>
          <w:sz w:val="22"/>
          <w:szCs w:val="22"/>
        </w:rPr>
        <w:fldChar w:fldCharType="begin"/>
      </w:r>
      <w:r>
        <w:rPr>
          <w:rFonts w:ascii="Century Gothic" w:hAnsi="Century Gothic"/>
          <w:color w:val="auto"/>
          <w:sz w:val="22"/>
          <w:szCs w:val="22"/>
        </w:rPr>
        <w:instrText xml:space="preserve"> SEQ Figure \* ARABIC </w:instrText>
      </w:r>
      <w:r>
        <w:rPr>
          <w:rFonts w:ascii="Century Gothic" w:hAnsi="Century Gothic"/>
          <w:color w:val="auto"/>
          <w:sz w:val="22"/>
          <w:szCs w:val="22"/>
        </w:rPr>
        <w:fldChar w:fldCharType="separate"/>
      </w:r>
      <w:r>
        <w:rPr>
          <w:rFonts w:ascii="Century Gothic" w:hAnsi="Century Gothic"/>
          <w:noProof/>
          <w:color w:val="auto"/>
          <w:sz w:val="22"/>
          <w:szCs w:val="22"/>
        </w:rPr>
        <w:t>7</w:t>
      </w:r>
      <w:r>
        <w:rPr>
          <w:rFonts w:ascii="Century Gothic" w:hAnsi="Century Gothic"/>
          <w:color w:val="auto"/>
          <w:sz w:val="22"/>
          <w:szCs w:val="22"/>
        </w:rPr>
        <w:fldChar w:fldCharType="end"/>
      </w:r>
      <w:r>
        <w:rPr>
          <w:rFonts w:ascii="Century Gothic" w:hAnsi="Century Gothic"/>
          <w:color w:val="auto"/>
          <w:sz w:val="22"/>
          <w:szCs w:val="22"/>
        </w:rPr>
        <w:t>: Localisation des interventions autour de l'espace de conservation de Baré</w:t>
      </w:r>
      <w:bookmarkEnd w:id="48"/>
    </w:p>
    <w:bookmarkStart w:id="49" w:name="_Toc82049062"/>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 xml:space="preserve">V. </w:t>
      </w:r>
      <w:r>
        <w:rPr>
          <w:rFonts w:ascii="Century Gothic" w:hAnsi="Century Gothic"/>
          <w:sz w:val="24"/>
          <w:szCs w:val="24"/>
        </w:rPr>
        <w:t>Résultats attendus</w:t>
      </w:r>
      <w:bookmarkEnd w:id="49"/>
    </w:p>
    <w:p>
      <w:pPr>
        <w:pStyle w:val="style0"/>
        <w:tabs>
          <w:tab w:val="left" w:leader="none" w:pos="9214"/>
          <w:tab w:val="left" w:leader="none" w:pos="9639"/>
        </w:tabs>
        <w:jc w:val="both"/>
        <w:rPr>
          <w:rFonts w:ascii="Century Gothic" w:hAnsi="Century Gothic"/>
          <w:b/>
          <w:u w:val="single"/>
        </w:rPr>
      </w:pPr>
    </w:p>
    <w:bookmarkStart w:id="50" w:name="_Toc82049063"/>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5.1  Résultats attendus en termes de bénéficiaires (directs et indirects) impactés par chacune des activités du PDIC REDD+</w:t>
      </w:r>
      <w:bookmarkEnd w:id="50"/>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Les bénéficiaires du projet sont à degrés divers, les différents acteurs directs ciblés. Il s’agit des membres de sociétés coopératives simplifiées constituées de femmes qui bénéficieront de formations techniques et de dotation en équipements </w:t>
      </w:r>
      <w:r>
        <w:rPr>
          <w:rFonts w:ascii="Century Gothic" w:hAnsi="Century Gothic"/>
        </w:rPr>
        <w:t>apicoles et avicoles. A</w:t>
      </w:r>
      <w:r>
        <w:rPr>
          <w:rFonts w:ascii="Century Gothic" w:hAnsi="Century Gothic"/>
        </w:rPr>
        <w:t xml:space="preserve"> cela, il faut ajouter, les membres des différents comités de gestion qui seront mis en place ainsi que le renforcement de leurs capacités.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La méthodologie utilisée pour l’identification des bénéficiaires s’est reposée sur les échanges avec la CTC, les CVD et les </w:t>
      </w:r>
      <w:r>
        <w:rPr>
          <w:rFonts w:ascii="Century Gothic" w:hAnsi="Century Gothic"/>
        </w:rPr>
        <w:t>coopératives</w:t>
      </w:r>
      <w:r>
        <w:rPr>
          <w:rFonts w:ascii="Century Gothic" w:hAnsi="Century Gothic"/>
        </w:rPr>
        <w:t xml:space="preserve"> lors des missions exploratoires et d’investigation complémentaires.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Le choix des bénéficiaires directs a porté sur les populations qui vont bénéficier des investissements (formation, équipements, suivi conseil) et les bénéficiaires sont constitués de l’ensemble de la population des </w:t>
      </w:r>
      <w:r>
        <w:rPr>
          <w:rFonts w:ascii="Century Gothic" w:hAnsi="Century Gothic"/>
        </w:rPr>
        <w:t xml:space="preserve">4 </w:t>
      </w:r>
      <w:r>
        <w:rPr>
          <w:rFonts w:ascii="Century Gothic" w:hAnsi="Century Gothic"/>
        </w:rPr>
        <w:t xml:space="preserve">villages qui valoriseront les connaissances des bénéficiaires directs dans leurs activités d’amélioration des productivités.  </w:t>
      </w:r>
    </w:p>
    <w:p>
      <w:pPr>
        <w:pStyle w:val="style0"/>
        <w:tabs>
          <w:tab w:val="left" w:leader="none" w:pos="9214"/>
          <w:tab w:val="left" w:leader="none" w:pos="9639"/>
        </w:tabs>
        <w:jc w:val="both"/>
        <w:rPr>
          <w:rFonts w:ascii="Century Gothic" w:hAnsi="Century Gothic"/>
        </w:rPr>
      </w:pPr>
    </w:p>
    <w:bookmarkStart w:id="51" w:name="_Toc82049146"/>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VIII</w:t>
      </w:r>
      <w:r>
        <w:rPr>
          <w:rFonts w:ascii="Century Gothic" w:hAnsi="Century Gothic"/>
          <w:color w:val="auto"/>
          <w:sz w:val="22"/>
          <w:szCs w:val="22"/>
        </w:rPr>
        <w:fldChar w:fldCharType="end"/>
      </w:r>
      <w:r>
        <w:rPr>
          <w:rFonts w:ascii="Century Gothic" w:hAnsi="Century Gothic"/>
          <w:color w:val="auto"/>
          <w:sz w:val="22"/>
          <w:szCs w:val="22"/>
        </w:rPr>
        <w:t>: Bénéficiaires du PDIC/REDD+</w:t>
      </w:r>
      <w:bookmarkEnd w:id="51"/>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3"/>
        <w:gridCol w:w="3298"/>
        <w:gridCol w:w="802"/>
        <w:gridCol w:w="709"/>
        <w:gridCol w:w="975"/>
        <w:gridCol w:w="1198"/>
      </w:tblGrid>
      <w:tr>
        <w:trPr>
          <w:trHeight w:val="58" w:hRule="atLeast"/>
          <w:tblHeader/>
        </w:trPr>
        <w:tc>
          <w:tcPr>
            <w:tcW w:w="2983" w:type="dxa"/>
            <w:tcBorders/>
            <w:shd w:val="clear" w:color="000000" w:fill="d9d9d9"/>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Type d’activité</w:t>
            </w:r>
          </w:p>
        </w:tc>
        <w:tc>
          <w:tcPr>
            <w:tcW w:w="3298"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Référence Activité</w:t>
            </w:r>
          </w:p>
        </w:tc>
        <w:tc>
          <w:tcPr>
            <w:tcW w:w="3684" w:type="dxa"/>
            <w:gridSpan w:val="4"/>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Bénéficiaires directs</w:t>
            </w:r>
          </w:p>
        </w:tc>
      </w:tr>
      <w:tr>
        <w:tblPrEx/>
        <w:trPr>
          <w:trHeight w:val="912" w:hRule="atLeast"/>
          <w:tblHeader/>
        </w:trPr>
        <w:tc>
          <w:tcPr>
            <w:tcW w:w="2983"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3298" w:type="dxa"/>
            <w:tcBorders/>
            <w:shd w:val="clear" w:color="000000" w:fill="d9d9d9"/>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802"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H</w:t>
            </w:r>
          </w:p>
        </w:tc>
        <w:tc>
          <w:tcPr>
            <w:tcW w:w="709"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F</w:t>
            </w:r>
          </w:p>
        </w:tc>
        <w:tc>
          <w:tcPr>
            <w:tcW w:w="975"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Pop.</w:t>
            </w:r>
          </w:p>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Vulnérables</w:t>
            </w:r>
          </w:p>
        </w:tc>
        <w:tc>
          <w:tcPr>
            <w:tcW w:w="1198"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Total</w:t>
            </w:r>
          </w:p>
        </w:tc>
      </w:tr>
      <w:tr>
        <w:tblPrEx/>
        <w:trPr>
          <w:trHeight w:val="912" w:hRule="atLeast"/>
        </w:trPr>
        <w:tc>
          <w:tcPr>
            <w:tcW w:w="2983"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     Activités directement liée à la réduction des émissions de gaz à effet de serre dans la forêt de Gonré</w:t>
            </w: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4.1.2.1.1.1. Appuyer la production des plants dans l’espace de conservation de Gonré </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4.1.2.1.1.2. Réaliser des plantations d’enrichissement/délimitation de la forêt de Gonré</w:t>
            </w:r>
          </w:p>
        </w:tc>
        <w:tc>
          <w:tcPr>
            <w:tcW w:w="80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711</w:t>
            </w:r>
          </w:p>
        </w:tc>
        <w:tc>
          <w:tcPr>
            <w:tcW w:w="709"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862</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1573</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4.1.2.1.1.3.  Réaliser des plantations individuelles dans les villages riverains dans l’espace de conservation de Gonré</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200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100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4.1.2.1.1.4. Mettre en place un comité villageois de gestion de la forêt villageoise de Gonré. </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485</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606</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1091</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4.1.2.1.1.5. Former/ recycler 07 membres (06H et 01 F) du comité de gestion / suivi de la charte sur leurs attributions dans l’espace de conservation de Gonré. </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4.1.2.1.1.6. Elaborer une charte locale de foncière de la forêt de Gonré</w:t>
            </w:r>
          </w:p>
        </w:tc>
        <w:tc>
          <w:tcPr>
            <w:tcW w:w="80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711</w:t>
            </w:r>
          </w:p>
        </w:tc>
        <w:tc>
          <w:tcPr>
            <w:tcW w:w="709"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862</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1573</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4.1.2.1.1.7. Réaliser le bornage de la forêt villageoise de Gonré</w:t>
            </w:r>
          </w:p>
        </w:tc>
        <w:tc>
          <w:tcPr>
            <w:tcW w:w="80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711</w:t>
            </w:r>
          </w:p>
        </w:tc>
        <w:tc>
          <w:tcPr>
            <w:tcW w:w="709"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862</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1573</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4.1.2.1.1.8. Confectionner et fixer cinq (5) de panneaux d'information et de sensibilisation sur la forêt de Gonré </w:t>
            </w:r>
          </w:p>
        </w:tc>
        <w:tc>
          <w:tcPr>
            <w:tcW w:w="80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711</w:t>
            </w:r>
          </w:p>
        </w:tc>
        <w:tc>
          <w:tcPr>
            <w:tcW w:w="709"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862</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1573</w:t>
            </w:r>
          </w:p>
        </w:tc>
      </w:tr>
      <w:tr>
        <w:tblPrEx/>
        <w:trPr>
          <w:trHeight w:val="912" w:hRule="atLeast"/>
        </w:trPr>
        <w:tc>
          <w:tcPr>
            <w:tcW w:w="2983"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2 Activités induites d’amélioration des productivités et des revenus dans l’espace de conservation de Gonré</w:t>
            </w: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4.1.2.2.1. Appuyer 100 producteurs à la production et à l’utilisation du compost dans l’espace de conservation de Gonré (Gonré et zenko-yarcé)</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4.1.2.2.2. Appuyer 100 producteurs la fauche et conservation du fourrage naturel dans les villages riverains de l‘espace de conservation de Gonré (Gonré et zenko-yarcé)</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4.1.2.2.3. Appuyer l’apiculture moderne au profit de 20 jeunes et femmes dans l’espace de conservation de Gonré</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12</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8</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4.4.6. Mettre en place un périmètre maraîcher au profit de la coopérative féminine Song Taaba Maboltenga de Gonré </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30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w:t>
            </w:r>
          </w:p>
        </w:tc>
      </w:tr>
      <w:tr>
        <w:tblPrEx/>
        <w:trPr>
          <w:trHeight w:val="912" w:hRule="atLeast"/>
        </w:trPr>
        <w:tc>
          <w:tcPr>
            <w:tcW w:w="2983"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 Activités de renforcement des capacités d’adaptation aux activités et responsabilités dans l’espace de conservation de Gonré</w:t>
            </w: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4.1.2.3.1 : Former 30 élus locaux et leaders villageois de la commune de Zecco sur la gouvernance locale et en législations environnementales</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4.1.2.3.2 : Organiser onze (11) séances d'information et de sensibilisation sur la sécurisation foncière dans la commune de Zecco</w:t>
            </w:r>
          </w:p>
        </w:tc>
        <w:tc>
          <w:tcPr>
            <w:tcW w:w="80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4326</w:t>
            </w:r>
          </w:p>
        </w:tc>
        <w:tc>
          <w:tcPr>
            <w:tcW w:w="709"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4878</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9204</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4.1.2.3.3. Former 200 producteurs en technique de plantation et entretien des espèces végétales dans l’espace de conservation de Gonré (Gonré et zenko-yarcé)</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120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80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4.1.2.3.4. Former 100 producteurs à la production et à l’utilisation du compost dans l’espace de conservation de Gonré: </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0"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4.1.2.3.5. Former 100 producteurs en technique de fauche et de conservation de </w:t>
            </w:r>
            <w:r>
              <w:rPr>
                <w:rFonts w:ascii="Century Gothic" w:cs="Calibri" w:hAnsi="Century Gothic"/>
                <w:color w:val="000000"/>
                <w:sz w:val="20"/>
                <w:szCs w:val="20"/>
              </w:rPr>
              <w:t>fourrage naturel dans l’espace de conservation de Gonré.</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4.1.2.3.6. Former 20 producteurs en techniques apicoles modernes dans l’espace de conservation de Gonré.</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12</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8</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Former 30 membres du groupement féminin Song Taaba Maboltenga en techniques de production maraîchère de Gonré. </w:t>
            </w:r>
          </w:p>
        </w:tc>
        <w:tc>
          <w:tcPr>
            <w:tcW w:w="80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709"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30</w:t>
            </w:r>
          </w:p>
        </w:tc>
        <w:tc>
          <w:tcPr>
            <w:tcW w:w="975"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w:t>
            </w:r>
          </w:p>
        </w:tc>
      </w:tr>
      <w:tr>
        <w:tblPrEx/>
        <w:trPr>
          <w:trHeight w:val="576" w:hRule="atLeast"/>
        </w:trPr>
        <w:tc>
          <w:tcPr>
            <w:tcW w:w="2983"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TOTAL ESPACE CONSERVATION GONRE</w:t>
            </w:r>
          </w:p>
        </w:tc>
        <w:tc>
          <w:tcPr>
            <w:tcW w:w="3298" w:type="dxa"/>
            <w:tcBorders/>
            <w:shd w:val="clear" w:color="auto" w:fill="auto"/>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802"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4312</w:t>
            </w:r>
          </w:p>
        </w:tc>
        <w:tc>
          <w:tcPr>
            <w:tcW w:w="709"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5090</w:t>
            </w:r>
          </w:p>
        </w:tc>
        <w:tc>
          <w:tcPr>
            <w:tcW w:w="975"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1198"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9402</w:t>
            </w:r>
          </w:p>
        </w:tc>
      </w:tr>
      <w:tr>
        <w:tblPrEx/>
        <w:trPr>
          <w:trHeight w:val="912" w:hRule="atLeast"/>
        </w:trPr>
        <w:tc>
          <w:tcPr>
            <w:tcW w:w="2983"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     Activités directement liée à la réduction des émissions de gaz à effet de serre dans l'espace de conservation de Zecco</w:t>
            </w: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4.1.2.1.1.2. Réaliser des plantations d’enrichissement/délimitation de la forêt de Zecco : </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4.1.2.1.1.3.  Réaliser des plantations individuelles dans les villages riverains dans l’espace de conservation de Zecco (villages de Baré et Guian).</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200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100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4.1.2.1.1.4. Mettre en place un comité villageois de gestion dans l’espace de conservation de Zecco. </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4.1.2.1.1.5. Former/ recycler 07 membres (06H et 01 F) du comité de gestion / suivi de la charte sur leurs attributions dans l’espace de conservation de Zecco. </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w:t>
            </w:r>
          </w:p>
        </w:tc>
      </w:tr>
      <w:tr>
        <w:tblPrEx/>
        <w:trPr>
          <w:trHeight w:val="515"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4.1.2.1.1.6. Elaborer une charte locale de foncière de la forêt de Zecco</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470"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4.1.2.1.1.7. Réaliser le bornage de la forêt villageoise de Zecco</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4.1.2.1.1.8. Confectionner et fixer cinq (5) de panneaux d'information et de sensibilisation sur la forêt de Baré</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90" w:hRule="atLeast"/>
        </w:trPr>
        <w:tc>
          <w:tcPr>
            <w:tcW w:w="2983"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 xml:space="preserve">Activités de type 2: 2.Activités de renforcement des capacités, y compris conciliation, concertation, délimitation participative et </w:t>
            </w:r>
            <w:r>
              <w:rPr>
                <w:rFonts w:ascii="Century Gothic" w:cs="Calibri" w:hAnsi="Century Gothic"/>
                <w:b/>
                <w:bCs/>
                <w:color w:val="000000"/>
                <w:sz w:val="20"/>
                <w:szCs w:val="20"/>
              </w:rPr>
              <w:t>sécurisation des zones de conservation</w:t>
            </w: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4.1.2.2.1. Appuyer 100 producteurs à la production et à l’utilisation du compost dans l’espace de conservation de Zecco (villages de Baré et Guian).</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4.1.2.2.2. Appuyer 100 producteurs la fauche et conservation du fourrage naturel dans les villages riverains de l‘espace de conservation de Zecco (villages de Baré et Guian)</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4.1.2.2.3. Appuyer l’aviculture villageoise au profit de la coopérative Baré sakia de Baré </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30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w:t>
            </w:r>
          </w:p>
        </w:tc>
      </w:tr>
      <w:tr>
        <w:tblPrEx/>
        <w:trPr>
          <w:trHeight w:val="912" w:hRule="atLeast"/>
        </w:trPr>
        <w:tc>
          <w:tcPr>
            <w:tcW w:w="2983"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4.1.2.3. Activités de renforcement des capacités d’adaptation aux activités et responsabilités dans l’espace de conservation de Baré</w:t>
            </w: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4.1.2.3.1. Former 200 producteurs en technique de plantation et entretien des espèces végétales dans l’espace de conservation de Zecco (villages de Baré et Guian).</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120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80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4.1.2.3.2. Former 100 producteurs à la production et à l’utilisation du compost dans l’espace de conservation de Zecco (villages de Baré et Guian).</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4.1.2.3.3. Former 100 producteurs en technique de fauche et de conservation de fourrage naturel dans l’espace de conservation de Zecco (villages de Baré et Guian).</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4.1.2.3.4. Former 30 membres de la coopérative Baré sakia du village Baré en aviculture. </w:t>
            </w:r>
          </w:p>
        </w:tc>
        <w:tc>
          <w:tcPr>
            <w:tcW w:w="80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709"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30</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w:t>
            </w:r>
          </w:p>
        </w:tc>
      </w:tr>
      <w:tr>
        <w:tblPrEx/>
        <w:trPr>
          <w:trHeight w:val="110" w:hRule="atLeast"/>
        </w:trPr>
        <w:tc>
          <w:tcPr>
            <w:tcW w:w="2983" w:type="dxa"/>
            <w:tcBorders/>
            <w:shd w:val="clear" w:color="auto" w:fill="auto"/>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TOTAL ESPACE CONSERVATION ZECCO</w:t>
            </w:r>
          </w:p>
        </w:tc>
        <w:tc>
          <w:tcPr>
            <w:tcW w:w="3298" w:type="dxa"/>
            <w:tcBorders/>
            <w:shd w:val="clear" w:color="auto" w:fill="auto"/>
            <w:noWrap/>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802"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3266</w:t>
            </w:r>
          </w:p>
        </w:tc>
        <w:tc>
          <w:tcPr>
            <w:tcW w:w="709"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3521</w:t>
            </w:r>
          </w:p>
        </w:tc>
        <w:tc>
          <w:tcPr>
            <w:tcW w:w="975"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6787</w:t>
            </w:r>
          </w:p>
        </w:tc>
      </w:tr>
      <w:tr>
        <w:tblPrEx/>
        <w:trPr>
          <w:trHeight w:val="912" w:hRule="atLeast"/>
        </w:trPr>
        <w:tc>
          <w:tcPr>
            <w:tcW w:w="2983"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     Activités directement liée à la réduction des émissions de gaz à effet de serre dans la forêt sacrée de Baré</w:t>
            </w: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3.4.1. Réaliser des plantations d’enrichissement/délimitation de la forêt sacrée de Baré (1,97 hectares) </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314</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368</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682</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3.4.2. Réaliser le bornage de la forêt villageoise sacrée de Baré</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314</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368</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682</w:t>
            </w:r>
          </w:p>
        </w:tc>
      </w:tr>
      <w:tr>
        <w:tblPrEx/>
        <w:trPr>
          <w:trHeight w:val="912" w:hRule="atLeast"/>
        </w:trPr>
        <w:tc>
          <w:tcPr>
            <w:tcW w:w="2983" w:type="dxa"/>
            <w:vMerge w:val="continue"/>
            <w:tcBorders/>
            <w:vAlign w:val="center"/>
            <w:hideMark/>
          </w:tcPr>
          <w:p>
            <w:pPr>
              <w:pStyle w:val="style0"/>
              <w:rPr>
                <w:rFonts w:ascii="Century Gothic" w:cs="Calibri" w:hAnsi="Century Gothic"/>
                <w:b/>
                <w:bCs/>
                <w:color w:val="000000"/>
                <w:sz w:val="20"/>
                <w:szCs w:val="20"/>
              </w:rPr>
            </w:pPr>
          </w:p>
        </w:tc>
        <w:tc>
          <w:tcPr>
            <w:tcW w:w="3298"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4.3.3. Confectionner et fixer deux (2) de panneaux d'information et de sensibilisation sur la forêt sacrés de Baré</w:t>
            </w:r>
          </w:p>
        </w:tc>
        <w:tc>
          <w:tcPr>
            <w:tcW w:w="80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314</w:t>
            </w:r>
          </w:p>
        </w:tc>
        <w:tc>
          <w:tcPr>
            <w:tcW w:w="709"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368</w:t>
            </w:r>
          </w:p>
        </w:tc>
        <w:tc>
          <w:tcPr>
            <w:tcW w:w="975"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682</w:t>
            </w:r>
          </w:p>
        </w:tc>
      </w:tr>
      <w:tr>
        <w:tblPrEx/>
        <w:trPr>
          <w:trHeight w:val="90" w:hRule="atLeast"/>
        </w:trPr>
        <w:tc>
          <w:tcPr>
            <w:tcW w:w="2983" w:type="dxa"/>
            <w:tcBorders/>
            <w:shd w:val="clear" w:color="auto" w:fill="auto"/>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TOTAL FORET SACREE DE BARE</w:t>
            </w:r>
          </w:p>
        </w:tc>
        <w:tc>
          <w:tcPr>
            <w:tcW w:w="3298" w:type="dxa"/>
            <w:tcBorders/>
            <w:shd w:val="clear" w:color="auto" w:fill="auto"/>
            <w:noWrap/>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802"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942</w:t>
            </w:r>
          </w:p>
        </w:tc>
        <w:tc>
          <w:tcPr>
            <w:tcW w:w="709"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1104</w:t>
            </w:r>
          </w:p>
        </w:tc>
        <w:tc>
          <w:tcPr>
            <w:tcW w:w="975"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2046</w:t>
            </w:r>
          </w:p>
        </w:tc>
      </w:tr>
      <w:tr>
        <w:tblPrEx/>
        <w:trPr>
          <w:trHeight w:val="90" w:hRule="atLeast"/>
        </w:trPr>
        <w:tc>
          <w:tcPr>
            <w:tcW w:w="2983" w:type="dxa"/>
            <w:tcBorders/>
            <w:shd w:val="clear" w:color="auto" w:fill="auto"/>
            <w:noWrap/>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TOTAL GENERAL</w:t>
            </w:r>
          </w:p>
        </w:tc>
        <w:tc>
          <w:tcPr>
            <w:tcW w:w="3298" w:type="dxa"/>
            <w:tcBorders/>
            <w:shd w:val="clear" w:color="auto" w:fill="auto"/>
            <w:noWrap/>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802"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8</w:t>
            </w:r>
            <w:r>
              <w:rPr>
                <w:rFonts w:ascii="Century Gothic" w:cs="Calibri" w:hAnsi="Century Gothic"/>
                <w:b/>
                <w:bCs/>
                <w:color w:val="000000"/>
                <w:sz w:val="20"/>
                <w:szCs w:val="20"/>
              </w:rPr>
              <w:t xml:space="preserve"> </w:t>
            </w:r>
            <w:r>
              <w:rPr>
                <w:rFonts w:ascii="Century Gothic" w:cs="Calibri" w:hAnsi="Century Gothic"/>
                <w:b/>
                <w:bCs/>
                <w:color w:val="000000"/>
                <w:sz w:val="20"/>
                <w:szCs w:val="20"/>
              </w:rPr>
              <w:t>520</w:t>
            </w:r>
          </w:p>
        </w:tc>
        <w:tc>
          <w:tcPr>
            <w:tcW w:w="709"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9</w:t>
            </w:r>
            <w:r>
              <w:rPr>
                <w:rFonts w:ascii="Century Gothic" w:cs="Calibri" w:hAnsi="Century Gothic"/>
                <w:b/>
                <w:bCs/>
                <w:color w:val="000000"/>
                <w:sz w:val="20"/>
                <w:szCs w:val="20"/>
              </w:rPr>
              <w:t xml:space="preserve"> </w:t>
            </w:r>
            <w:r>
              <w:rPr>
                <w:rFonts w:ascii="Century Gothic" w:cs="Calibri" w:hAnsi="Century Gothic"/>
                <w:b/>
                <w:bCs/>
                <w:color w:val="000000"/>
                <w:sz w:val="20"/>
                <w:szCs w:val="20"/>
              </w:rPr>
              <w:t>715</w:t>
            </w:r>
          </w:p>
        </w:tc>
        <w:tc>
          <w:tcPr>
            <w:tcW w:w="975"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1198" w:type="dxa"/>
            <w:tcBorders/>
            <w:shd w:val="clear" w:color="auto" w:fill="auto"/>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18</w:t>
            </w:r>
            <w:r>
              <w:rPr>
                <w:rFonts w:ascii="Century Gothic" w:cs="Calibri" w:hAnsi="Century Gothic"/>
                <w:b/>
                <w:bCs/>
                <w:color w:val="000000"/>
                <w:sz w:val="20"/>
                <w:szCs w:val="20"/>
              </w:rPr>
              <w:t xml:space="preserve"> </w:t>
            </w:r>
            <w:r>
              <w:rPr>
                <w:rFonts w:ascii="Century Gothic" w:cs="Calibri" w:hAnsi="Century Gothic"/>
                <w:b/>
                <w:bCs/>
                <w:color w:val="000000"/>
                <w:sz w:val="20"/>
                <w:szCs w:val="20"/>
              </w:rPr>
              <w:t>235</w:t>
            </w:r>
          </w:p>
        </w:tc>
      </w:tr>
      <w:tr>
        <w:tblPrEx/>
        <w:trPr>
          <w:trHeight w:val="122" w:hRule="atLeast"/>
        </w:trPr>
        <w:tc>
          <w:tcPr>
            <w:tcW w:w="2983" w:type="dxa"/>
            <w:tcBorders/>
            <w:shd w:val="clear" w:color="auto" w:fill="auto"/>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BENEFICIAIRES DIRECTS</w:t>
            </w:r>
          </w:p>
        </w:tc>
        <w:tc>
          <w:tcPr>
            <w:tcW w:w="3298" w:type="dxa"/>
            <w:tcBorders/>
            <w:shd w:val="clear" w:color="auto" w:fill="auto"/>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802" w:type="dxa"/>
            <w:tcBorders/>
            <w:shd w:val="clear" w:color="auto" w:fill="auto"/>
            <w:vAlign w:val="center"/>
            <w:hideMark/>
          </w:tcPr>
          <w:p>
            <w:pPr>
              <w:pStyle w:val="style0"/>
              <w:jc w:val="right"/>
              <w:rPr>
                <w:rFonts w:ascii="Century Gothic" w:cs="Calibri" w:hAnsi="Century Gothic"/>
                <w:b/>
                <w:bCs/>
                <w:color w:val="000000"/>
                <w:sz w:val="20"/>
                <w:szCs w:val="20"/>
              </w:rPr>
            </w:pPr>
            <w:r>
              <w:rPr>
                <w:rFonts w:ascii="Century Gothic" w:cs="Calibri" w:hAnsi="Century Gothic"/>
                <w:b/>
                <w:bCs/>
                <w:color w:val="000000"/>
                <w:sz w:val="20"/>
                <w:szCs w:val="20"/>
              </w:rPr>
              <w:t>1</w:t>
            </w:r>
            <w:r>
              <w:rPr>
                <w:rFonts w:ascii="Century Gothic" w:cs="Calibri" w:hAnsi="Century Gothic"/>
                <w:b/>
                <w:bCs/>
                <w:color w:val="000000"/>
                <w:sz w:val="20"/>
                <w:szCs w:val="20"/>
              </w:rPr>
              <w:t xml:space="preserve"> </w:t>
            </w:r>
            <w:r>
              <w:rPr>
                <w:rFonts w:ascii="Century Gothic" w:cs="Calibri" w:hAnsi="Century Gothic"/>
                <w:b/>
                <w:bCs/>
                <w:color w:val="000000"/>
                <w:sz w:val="20"/>
                <w:szCs w:val="20"/>
              </w:rPr>
              <w:t>176</w:t>
            </w:r>
          </w:p>
        </w:tc>
        <w:tc>
          <w:tcPr>
            <w:tcW w:w="709" w:type="dxa"/>
            <w:tcBorders/>
            <w:shd w:val="clear" w:color="auto" w:fill="auto"/>
            <w:vAlign w:val="center"/>
            <w:hideMark/>
          </w:tcPr>
          <w:p>
            <w:pPr>
              <w:pStyle w:val="style0"/>
              <w:jc w:val="right"/>
              <w:rPr>
                <w:rFonts w:ascii="Century Gothic" w:cs="Calibri" w:hAnsi="Century Gothic"/>
                <w:b/>
                <w:bCs/>
                <w:color w:val="000000"/>
                <w:sz w:val="20"/>
                <w:szCs w:val="20"/>
              </w:rPr>
            </w:pPr>
            <w:r>
              <w:rPr>
                <w:rFonts w:ascii="Century Gothic" w:cs="Calibri" w:hAnsi="Century Gothic"/>
                <w:b/>
                <w:bCs/>
                <w:color w:val="000000"/>
                <w:sz w:val="20"/>
                <w:szCs w:val="20"/>
              </w:rPr>
              <w:t>828</w:t>
            </w:r>
          </w:p>
        </w:tc>
        <w:tc>
          <w:tcPr>
            <w:tcW w:w="975" w:type="dxa"/>
            <w:tcBorders/>
            <w:shd w:val="clear" w:color="auto" w:fill="auto"/>
            <w:vAlign w:val="center"/>
            <w:hideMark/>
          </w:tcPr>
          <w:p>
            <w:pPr>
              <w:pStyle w:val="style0"/>
              <w:jc w:val="right"/>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1198" w:type="dxa"/>
            <w:tcBorders/>
            <w:shd w:val="clear" w:color="auto" w:fill="auto"/>
            <w:vAlign w:val="center"/>
            <w:hideMark/>
          </w:tcPr>
          <w:p>
            <w:pPr>
              <w:pStyle w:val="style0"/>
              <w:jc w:val="right"/>
              <w:rPr>
                <w:rFonts w:ascii="Century Gothic" w:cs="Calibri" w:hAnsi="Century Gothic"/>
                <w:b/>
                <w:bCs/>
                <w:color w:val="000000"/>
                <w:sz w:val="20"/>
                <w:szCs w:val="20"/>
              </w:rPr>
            </w:pPr>
            <w:r>
              <w:rPr>
                <w:rFonts w:ascii="Century Gothic" w:cs="Calibri" w:hAnsi="Century Gothic"/>
                <w:b/>
                <w:bCs/>
                <w:color w:val="000000"/>
                <w:sz w:val="20"/>
                <w:szCs w:val="20"/>
              </w:rPr>
              <w:t>2004</w:t>
            </w:r>
          </w:p>
        </w:tc>
      </w:tr>
    </w:tbl>
    <w:p>
      <w:pPr>
        <w:pStyle w:val="style2"/>
        <w:numPr>
          <w:ilvl w:val="0"/>
          <w:numId w:val="0"/>
        </w:numPr>
        <w:tabs>
          <w:tab w:val="left" w:leader="none" w:pos="9214"/>
          <w:tab w:val="left" w:leader="none" w:pos="9639"/>
        </w:tabs>
        <w:rPr>
          <w:rFonts w:ascii="Century Gothic" w:hAnsi="Century Gothic"/>
          <w:szCs w:val="24"/>
        </w:rPr>
      </w:pPr>
    </w:p>
    <w:bookmarkStart w:id="52" w:name="_Toc82049064"/>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5.2 Résultats attendus en termes de séquestration de carbone pour chacune des activités du PDIC</w:t>
      </w:r>
      <w:bookmarkEnd w:id="52"/>
    </w:p>
    <w:p>
      <w:pPr>
        <w:pStyle w:val="style0"/>
        <w:tabs>
          <w:tab w:val="left" w:leader="none" w:pos="9214"/>
          <w:tab w:val="left" w:leader="none" w:pos="9639"/>
        </w:tabs>
        <w:rPr>
          <w:rFonts w:ascii="Century Gothic" w:hAnsi="Century Gothic"/>
        </w:rPr>
      </w:pPr>
    </w:p>
    <w:p>
      <w:pPr>
        <w:pStyle w:val="style0"/>
        <w:jc w:val="both"/>
        <w:rPr>
          <w:rFonts w:ascii="Century Gothic" w:hAnsi="Century Gothic"/>
        </w:rPr>
      </w:pPr>
      <w:r>
        <w:rPr>
          <w:rFonts w:ascii="Century Gothic" w:hAnsi="Century Gothic"/>
        </w:rPr>
        <w:t xml:space="preserve">Le PDIC REDD+ de Zécco a un potentiel de séquestration de de carbone de </w:t>
      </w:r>
      <w:r>
        <w:rPr>
          <w:rFonts w:ascii="Century Gothic" w:hAnsi="Century Gothic"/>
        </w:rPr>
        <w:t>7</w:t>
      </w:r>
      <w:r>
        <w:rPr>
          <w:rFonts w:ascii="Century Gothic" w:hAnsi="Century Gothic"/>
        </w:rPr>
        <w:t> </w:t>
      </w:r>
      <w:r>
        <w:rPr>
          <w:rFonts w:ascii="Century Gothic" w:hAnsi="Century Gothic"/>
        </w:rPr>
        <w:t>561</w:t>
      </w:r>
      <w:r>
        <w:rPr>
          <w:rFonts w:ascii="Century Gothic" w:hAnsi="Century Gothic"/>
        </w:rPr>
        <w:t xml:space="preserve"> tonnes de CO2 équivalent (</w:t>
      </w:r>
      <w:r>
        <w:rPr>
          <w:rFonts w:ascii="Century Gothic" w:hAnsi="Century Gothic"/>
        </w:rPr>
        <w:t>7</w:t>
      </w:r>
      <w:r>
        <w:rPr>
          <w:rFonts w:ascii="Century Gothic" w:hAnsi="Century Gothic"/>
        </w:rPr>
        <w:t> </w:t>
      </w:r>
      <w:r>
        <w:rPr>
          <w:rFonts w:ascii="Century Gothic" w:hAnsi="Century Gothic"/>
        </w:rPr>
        <w:t>561</w:t>
      </w:r>
      <w:r>
        <w:rPr>
          <w:rFonts w:ascii="Century Gothic" w:hAnsi="Century Gothic"/>
        </w:rPr>
        <w:t xml:space="preserve"> tCO</w:t>
      </w:r>
      <w:r>
        <w:rPr>
          <w:rFonts w:ascii="Century Gothic" w:hAnsi="Century Gothic"/>
          <w:vertAlign w:val="subscript"/>
        </w:rPr>
        <w:t>2</w:t>
      </w:r>
      <w:r>
        <w:rPr>
          <w:rFonts w:ascii="Century Gothic" w:hAnsi="Century Gothic"/>
        </w:rPr>
        <w:t xml:space="preserve">-e) comme précisé dans le tableau </w:t>
      </w:r>
      <w:r>
        <w:rPr>
          <w:rFonts w:ascii="Century Gothic" w:hAnsi="Century Gothic"/>
        </w:rPr>
        <w:t xml:space="preserve">9 </w:t>
      </w:r>
      <w:r>
        <w:rPr>
          <w:rFonts w:ascii="Century Gothic" w:hAnsi="Century Gothic"/>
        </w:rPr>
        <w:t>ci-après.</w:t>
      </w:r>
    </w:p>
    <w:p>
      <w:pPr>
        <w:pStyle w:val="style0"/>
        <w:jc w:val="both"/>
        <w:rPr>
          <w:rFonts w:ascii="Century Gothic" w:hAnsi="Century Gothic"/>
        </w:rPr>
      </w:pPr>
      <w:r>
        <w:rPr>
          <w:rFonts w:ascii="Century Gothic" w:hAnsi="Century Gothic"/>
        </w:rPr>
        <w:t>De ce fait, le projet de mise en œuvre du PDIC REDD+ de Zécco est considéré comme un projet vert (il séquestre plus de carbone qu’il en émette).</w:t>
      </w:r>
    </w:p>
    <w:p>
      <w:pPr>
        <w:pStyle w:val="style0"/>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Ce carbone sera séquestré à travers les activités de reboisement </w:t>
      </w:r>
      <w:r>
        <w:rPr>
          <w:rFonts w:ascii="Century Gothic" w:hAnsi="Century Gothic"/>
        </w:rPr>
        <w:t>dans les exploitations agricoles</w:t>
      </w:r>
      <w:r>
        <w:rPr>
          <w:rFonts w:ascii="Century Gothic" w:hAnsi="Century Gothic"/>
        </w:rPr>
        <w:t xml:space="preserve"> (</w:t>
      </w:r>
      <w:r>
        <w:rPr>
          <w:rFonts w:ascii="Century Gothic" w:hAnsi="Century Gothic"/>
        </w:rPr>
        <w:t>6</w:t>
      </w:r>
      <w:r>
        <w:rPr>
          <w:rFonts w:ascii="Century Gothic" w:hAnsi="Century Gothic"/>
        </w:rPr>
        <w:t>,</w:t>
      </w:r>
      <w:r>
        <w:rPr>
          <w:rFonts w:ascii="Century Gothic" w:hAnsi="Century Gothic"/>
        </w:rPr>
        <w:t>21</w:t>
      </w:r>
      <w:r>
        <w:rPr>
          <w:rFonts w:ascii="Century Gothic" w:hAnsi="Century Gothic"/>
        </w:rPr>
        <w:t>%) et surtout par la bonne gestion des espaces de conservation (</w:t>
      </w:r>
      <w:r>
        <w:rPr>
          <w:rFonts w:ascii="Century Gothic" w:hAnsi="Century Gothic"/>
        </w:rPr>
        <w:t>90</w:t>
      </w:r>
      <w:r>
        <w:rPr>
          <w:rFonts w:ascii="Century Gothic" w:hAnsi="Century Gothic"/>
        </w:rPr>
        <w:t>,</w:t>
      </w:r>
      <w:r>
        <w:rPr>
          <w:rFonts w:ascii="Century Gothic" w:hAnsi="Century Gothic"/>
        </w:rPr>
        <w:t>81</w:t>
      </w:r>
      <w:r>
        <w:rPr>
          <w:rFonts w:ascii="Century Gothic" w:hAnsi="Century Gothic"/>
        </w:rPr>
        <w:t>%). Notons également que l’adoption des meilleures pratiques agricoles permettra également de réduire les émissions de carbone et de séquestrer 2,</w:t>
      </w:r>
      <w:r>
        <w:rPr>
          <w:rFonts w:ascii="Century Gothic" w:hAnsi="Century Gothic"/>
        </w:rPr>
        <w:t>98</w:t>
      </w:r>
      <w:r>
        <w:rPr>
          <w:rFonts w:ascii="Century Gothic" w:hAnsi="Century Gothic"/>
        </w:rPr>
        <w:t>% du carbone séquestrer par la mise en œuvre de l’ensemble du PDIC</w:t>
      </w:r>
      <w:r>
        <w:rPr>
          <w:rFonts w:ascii="Century Gothic" w:hAnsi="Century Gothic"/>
        </w:rPr>
        <w:t>.</w:t>
      </w:r>
    </w:p>
    <w:p>
      <w:pPr>
        <w:pStyle w:val="style0"/>
        <w:tabs>
          <w:tab w:val="left" w:leader="none" w:pos="9214"/>
          <w:tab w:val="left" w:leader="none" w:pos="9639"/>
        </w:tabs>
        <w:jc w:val="both"/>
        <w:rPr>
          <w:rFonts w:ascii="Century Gothic" w:hAnsi="Century Gothic"/>
        </w:rPr>
      </w:pPr>
    </w:p>
    <w:p>
      <w:pPr>
        <w:pStyle w:val="style0"/>
        <w:jc w:val="both"/>
        <w:rPr>
          <w:rFonts w:ascii="Century Gothic" w:hAnsi="Century Gothic"/>
        </w:rPr>
      </w:pPr>
      <w:r>
        <w:rPr>
          <w:rFonts w:ascii="Century Gothic" w:hAnsi="Century Gothic"/>
        </w:rPr>
        <w:t>Par ailleurs, la mise en œuvre du PDIC va engendrer l’émission de 4 369 tCO</w:t>
      </w:r>
      <w:r>
        <w:rPr>
          <w:rFonts w:ascii="Century Gothic" w:hAnsi="Century Gothic"/>
          <w:vertAlign w:val="subscript"/>
        </w:rPr>
        <w:t>2</w:t>
      </w:r>
      <w:r>
        <w:rPr>
          <w:rFonts w:ascii="Century Gothic" w:hAnsi="Century Gothic"/>
        </w:rPr>
        <w:t>-e à cause de l’utilisation du carburant pour les motocyclettes et voitures lors des différents déplacements et les activités de bureau qui vont consommer de l’électricité. De toutes les activités du PDIC REDD+ de Zécco, c’est la production de la fumure organique qui engendre la plus grande émission de CO</w:t>
      </w:r>
      <w:r>
        <w:rPr>
          <w:rFonts w:ascii="Century Gothic" w:hAnsi="Century Gothic"/>
          <w:vertAlign w:val="subscript"/>
        </w:rPr>
        <w:t>2</w:t>
      </w:r>
      <w:r>
        <w:rPr>
          <w:rFonts w:ascii="Century Gothic" w:hAnsi="Century Gothic"/>
        </w:rPr>
        <w:t xml:space="preserve"> à cause surtout du dégagement du méthane issu des déjections (des ruminants notamment les bœufs) utilisées dans le processus de production de la fumure organique comme présenté en annexe 2. </w:t>
      </w:r>
    </w:p>
    <w:p>
      <w:pPr>
        <w:pStyle w:val="style0"/>
        <w:jc w:val="both"/>
        <w:rPr>
          <w:rFonts w:ascii="Century Gothic" w:hAnsi="Century Gothic"/>
        </w:rPr>
      </w:pPr>
    </w:p>
    <w:p>
      <w:pPr>
        <w:pStyle w:val="style0"/>
        <w:jc w:val="both"/>
        <w:rPr>
          <w:rFonts w:ascii="Century Gothic" w:hAnsi="Century Gothic"/>
        </w:rPr>
      </w:pPr>
      <w:r>
        <w:rPr>
          <w:rFonts w:ascii="Century Gothic" w:hAnsi="Century Gothic"/>
        </w:rPr>
        <w:t>Il est important de souligner qu’en termes de potentialité de séquestration du carbone, la création et/ou la gestion des espaces de conservation est largement plus avantageuse que le reboisement dans les agrosystèmes. Le cas de la mise en œuvre du présent PDIC est plus que illustratif.</w:t>
      </w:r>
    </w:p>
    <w:p>
      <w:pPr>
        <w:pStyle w:val="style0"/>
        <w:jc w:val="both"/>
        <w:rPr>
          <w:rFonts w:ascii="Century Gothic" w:hAnsi="Century Gothic"/>
        </w:rPr>
      </w:pPr>
      <w:r>
        <w:rPr>
          <w:rFonts w:ascii="Century Gothic" w:hAnsi="Century Gothic"/>
        </w:rPr>
        <w:t xml:space="preserve">En effet, la gestion trois </w:t>
      </w:r>
      <w:r>
        <w:rPr>
          <w:rFonts w:ascii="Century Gothic" w:hAnsi="Century Gothic"/>
          <w:b/>
        </w:rPr>
        <w:t>deux espaces de conservation</w:t>
      </w:r>
      <w:r>
        <w:rPr>
          <w:rFonts w:ascii="Century Gothic" w:hAnsi="Century Gothic"/>
        </w:rPr>
        <w:t xml:space="preserve"> d’une superficie totale de </w:t>
      </w:r>
      <w:r>
        <w:rPr>
          <w:rFonts w:ascii="Century Gothic" w:hAnsi="Century Gothic"/>
          <w:b/>
        </w:rPr>
        <w:t>64 ha</w:t>
      </w:r>
      <w:r>
        <w:rPr>
          <w:rFonts w:ascii="Century Gothic" w:hAnsi="Century Gothic"/>
        </w:rPr>
        <w:t xml:space="preserve"> permet d’obtenir un potentiel de séquestration de </w:t>
      </w:r>
      <w:r>
        <w:rPr>
          <w:rFonts w:ascii="Century Gothic" w:hAnsi="Century Gothic"/>
          <w:b/>
        </w:rPr>
        <w:t>10 834 tCO</w:t>
      </w:r>
      <w:r>
        <w:rPr>
          <w:rFonts w:ascii="Century Gothic" w:hAnsi="Century Gothic"/>
          <w:b/>
          <w:vertAlign w:val="subscript"/>
        </w:rPr>
        <w:t>2</w:t>
      </w:r>
      <w:r>
        <w:rPr>
          <w:rFonts w:ascii="Century Gothic" w:hAnsi="Century Gothic"/>
          <w:b/>
        </w:rPr>
        <w:t>-e</w:t>
      </w:r>
      <w:r>
        <w:rPr>
          <w:rFonts w:ascii="Century Gothic" w:hAnsi="Century Gothic"/>
        </w:rPr>
        <w:t xml:space="preserve"> tandis que le reboisement de </w:t>
      </w:r>
      <w:r>
        <w:rPr>
          <w:rFonts w:ascii="Century Gothic" w:hAnsi="Century Gothic"/>
          <w:b/>
        </w:rPr>
        <w:t>90 000 plants sur 432 ha</w:t>
      </w:r>
      <w:r>
        <w:rPr>
          <w:rFonts w:ascii="Century Gothic" w:hAnsi="Century Gothic"/>
        </w:rPr>
        <w:t xml:space="preserve"> en raison de 625 pieds à l’hectare n’a qu’un potentiel de séquestration de </w:t>
      </w:r>
      <w:r>
        <w:rPr>
          <w:rFonts w:ascii="Century Gothic" w:hAnsi="Century Gothic"/>
          <w:b/>
        </w:rPr>
        <w:t>741</w:t>
      </w:r>
      <w:r>
        <w:rPr>
          <w:rFonts w:ascii="Century Gothic" w:hAnsi="Century Gothic"/>
        </w:rPr>
        <w:t xml:space="preserve"> tCO</w:t>
      </w:r>
      <w:r>
        <w:rPr>
          <w:rFonts w:ascii="Century Gothic" w:hAnsi="Century Gothic"/>
          <w:vertAlign w:val="subscript"/>
        </w:rPr>
        <w:t>2</w:t>
      </w:r>
      <w:r>
        <w:rPr>
          <w:rFonts w:ascii="Century Gothic" w:hAnsi="Century Gothic"/>
        </w:rPr>
        <w:t>-e soit 6,21% du carbone total séquestré.</w:t>
      </w:r>
    </w:p>
    <w:p>
      <w:pPr>
        <w:pStyle w:val="style0"/>
        <w:jc w:val="both"/>
        <w:rPr>
          <w:rFonts w:ascii="Century Gothic" w:hAnsi="Century Gothic"/>
        </w:rPr>
      </w:pPr>
    </w:p>
    <w:p>
      <w:pPr>
        <w:pStyle w:val="style0"/>
        <w:jc w:val="both"/>
        <w:rPr>
          <w:rFonts w:ascii="Century Gothic" w:hAnsi="Century Gothic"/>
          <w:b/>
        </w:rPr>
      </w:pPr>
      <w:r>
        <w:rPr>
          <w:rFonts w:ascii="Century Gothic" w:hAnsi="Century Gothic"/>
          <w:b/>
        </w:rPr>
        <w:t>De ce fait, dans le cadre de la mise en œuvre des projets REDD+, la création des espaces de conservation est vivement conseillée.</w:t>
      </w: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sectPr>
          <w:footerReference w:type="default" r:id="rId17"/>
          <w:pgSz w:w="11920" w:h="16840" w:orient="portrait"/>
          <w:pgMar w:top="1134" w:right="1134" w:bottom="1134" w:left="1134" w:header="709" w:footer="709" w:gutter="0"/>
          <w:cols w:space="708"/>
          <w:docGrid w:linePitch="360"/>
        </w:sectPr>
      </w:pPr>
    </w:p>
    <w:bookmarkStart w:id="53" w:name="_Toc82049147"/>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IX</w:t>
      </w:r>
      <w:r>
        <w:rPr>
          <w:rFonts w:ascii="Century Gothic" w:hAnsi="Century Gothic"/>
          <w:color w:val="auto"/>
          <w:sz w:val="22"/>
          <w:szCs w:val="22"/>
        </w:rPr>
        <w:fldChar w:fldCharType="end"/>
      </w:r>
      <w:r>
        <w:rPr>
          <w:rFonts w:ascii="Century Gothic" w:hAnsi="Century Gothic"/>
          <w:color w:val="auto"/>
          <w:sz w:val="22"/>
          <w:szCs w:val="22"/>
        </w:rPr>
        <w:t>: Résultats attendus de séquestration du carbone</w:t>
      </w:r>
      <w:bookmarkEnd w:id="53"/>
    </w:p>
    <w:p>
      <w:pPr>
        <w:pStyle w:val="style0"/>
        <w:spacing w:after="160" w:lineRule="auto" w:line="259"/>
        <w:rPr>
          <w:rFonts w:ascii="Century Gothic" w:hAnsi="Century Gothic"/>
          <w:u w:val="single"/>
        </w:rPr>
      </w:pPr>
      <w:r>
        <w:rPr>
          <w:noProof/>
        </w:rPr>
        <w:drawing>
          <wp:inline distL="0" distT="0" distB="0" distR="0">
            <wp:extent cx="9253220" cy="4375150"/>
            <wp:effectExtent l="0" t="0" r="5080" b="6350"/>
            <wp:docPr id="1046"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4"/>
                    <pic:cNvPicPr/>
                  </pic:nvPicPr>
                  <pic:blipFill>
                    <a:blip r:embed="rId18" cstate="print"/>
                    <a:srcRect l="0" t="0" r="0" b="0"/>
                    <a:stretch/>
                  </pic:blipFill>
                  <pic:spPr>
                    <a:xfrm rot="0">
                      <a:off x="0" y="0"/>
                      <a:ext cx="9253220" cy="4375150"/>
                    </a:xfrm>
                    <a:prstGeom prst="rect"/>
                  </pic:spPr>
                </pic:pic>
              </a:graphicData>
            </a:graphic>
          </wp:inline>
        </w:drawing>
      </w:r>
    </w:p>
    <w:p>
      <w:pPr>
        <w:pStyle w:val="style0"/>
        <w:spacing w:after="160" w:lineRule="auto" w:line="259"/>
        <w:rPr>
          <w:rFonts w:ascii="Century Gothic" w:hAnsi="Century Gothic"/>
          <w:u w:val="single"/>
        </w:rPr>
      </w:pPr>
    </w:p>
    <w:p>
      <w:pPr>
        <w:pStyle w:val="style0"/>
        <w:spacing w:after="160" w:lineRule="auto" w:line="259"/>
        <w:rPr>
          <w:rFonts w:ascii="Century Gothic" w:hAnsi="Century Gothic"/>
          <w:u w:val="single"/>
        </w:rPr>
        <w:sectPr>
          <w:pgSz w:w="16840" w:h="11920" w:orient="landscape"/>
          <w:pgMar w:top="1134" w:right="1134" w:bottom="1134" w:left="1134" w:header="709" w:footer="709" w:gutter="0"/>
          <w:cols w:space="708"/>
          <w:docGrid w:linePitch="360"/>
        </w:sectPr>
      </w:pPr>
    </w:p>
    <w:bookmarkStart w:id="54" w:name="_Toc82049065"/>
    <w:p>
      <w:pPr>
        <w:pStyle w:val="style1"/>
        <w:numPr>
          <w:ilvl w:val="0"/>
          <w:numId w:val="0"/>
        </w:numPr>
        <w:tabs>
          <w:tab w:val="left" w:leader="none" w:pos="9214"/>
          <w:tab w:val="left" w:leader="none" w:pos="9639"/>
        </w:tabs>
        <w:spacing w:before="0" w:after="0"/>
        <w:rPr>
          <w:rFonts w:ascii="Century Gothic" w:hAnsi="Century Gothic"/>
          <w:sz w:val="24"/>
          <w:szCs w:val="24"/>
          <w:u w:val="single"/>
        </w:rPr>
      </w:pPr>
      <w:r>
        <w:rPr>
          <w:rFonts w:ascii="Century Gothic" w:hAnsi="Century Gothic"/>
          <w:sz w:val="24"/>
          <w:szCs w:val="24"/>
          <w:u w:val="single"/>
        </w:rPr>
        <w:t>5.3  résultats attendus en termes de co-bénéfices</w:t>
      </w:r>
      <w:bookmarkEnd w:id="54"/>
    </w:p>
    <w:p>
      <w:pPr>
        <w:pStyle w:val="style0"/>
        <w:tabs>
          <w:tab w:val="left" w:leader="none" w:pos="9214"/>
          <w:tab w:val="left" w:leader="none" w:pos="9639"/>
        </w:tabs>
        <w:jc w:val="both"/>
        <w:rPr>
          <w:rFonts w:ascii="Century Gothic" w:hAnsi="Century Gothic"/>
          <w:i/>
        </w:rPr>
      </w:pPr>
    </w:p>
    <w:bookmarkStart w:id="55" w:name="_Toc506538023"/>
    <w:bookmarkStart w:id="56" w:name="_Toc82049066"/>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5.3.1. Au niveau environnemental</w:t>
      </w:r>
      <w:bookmarkEnd w:id="55"/>
      <w:bookmarkEnd w:id="56"/>
    </w:p>
    <w:p>
      <w:pPr>
        <w:pStyle w:val="style0"/>
        <w:tabs>
          <w:tab w:val="left" w:leader="none" w:pos="9214"/>
          <w:tab w:val="left" w:leader="none" w:pos="9639"/>
        </w:tabs>
        <w:jc w:val="both"/>
        <w:rPr>
          <w:rFonts w:ascii="Century Gothic" w:hAnsi="Century Gothic"/>
          <w:b/>
          <w:i/>
        </w:rPr>
      </w:pPr>
    </w:p>
    <w:p>
      <w:pPr>
        <w:pStyle w:val="style0"/>
        <w:tabs>
          <w:tab w:val="left" w:leader="none" w:pos="9214"/>
          <w:tab w:val="left" w:leader="none" w:pos="9639"/>
        </w:tabs>
        <w:jc w:val="both"/>
        <w:rPr>
          <w:rFonts w:ascii="Century Gothic" w:hAnsi="Century Gothic"/>
        </w:rPr>
      </w:pPr>
      <w:r>
        <w:rPr>
          <w:rFonts w:ascii="Century Gothic" w:hAnsi="Century Gothic"/>
        </w:rPr>
        <w:t>Les investissements dans les espaces de conservation (délimitation, protection, enrichissement contribueront à créer un contexte de quiétude favorable au développement de la faune sauvage et aux possibilités de développement d’autres activités de valorisation comme le tourisme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Les réalisations de renforcement des productivités (</w:t>
      </w:r>
      <w:r>
        <w:rPr>
          <w:rFonts w:ascii="Century Gothic" w:hAnsi="Century Gothic"/>
        </w:rPr>
        <w:t>promotion de la fumure organique</w:t>
      </w:r>
      <w:r>
        <w:rPr>
          <w:rFonts w:ascii="Century Gothic" w:hAnsi="Century Gothic"/>
        </w:rPr>
        <w:t xml:space="preserve">, régénération naturelle assistée, </w:t>
      </w:r>
      <w:r>
        <w:rPr>
          <w:rFonts w:ascii="Century Gothic" w:hAnsi="Century Gothic"/>
        </w:rPr>
        <w:t>fauche et conservation du fourrage</w:t>
      </w:r>
      <w:r>
        <w:rPr>
          <w:rFonts w:ascii="Century Gothic" w:hAnsi="Century Gothic"/>
        </w:rPr>
        <w:t xml:space="preserve"> renforcement non seulement les sols </w:t>
      </w:r>
      <w:r>
        <w:rPr>
          <w:rFonts w:ascii="Century Gothic" w:hAnsi="Century Gothic"/>
        </w:rPr>
        <w:t>et le</w:t>
      </w:r>
      <w:r>
        <w:rPr>
          <w:rFonts w:ascii="Century Gothic" w:hAnsi="Century Gothic"/>
        </w:rPr>
        <w:t xml:space="preserve"> couvert végétal, mais aussi créeront des conditions favorables au développement de la micro faune (insectes pollinisateurs, var</w:t>
      </w:r>
      <w:r>
        <w:rPr>
          <w:rFonts w:ascii="Century Gothic" w:hAnsi="Century Gothic"/>
        </w:rPr>
        <w:t>ans, serpents dans les champs);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Enfin la mise en œuvre du PDIC/REDD+ dans la commune contribuera à séquestrer </w:t>
      </w:r>
      <w:r>
        <w:rPr>
          <w:rFonts w:ascii="Century Gothic" w:hAnsi="Century Gothic"/>
          <w:b/>
        </w:rPr>
        <w:t>7 561 tonnes de CO2 équivalent (7 561 tCO</w:t>
      </w:r>
      <w:r>
        <w:rPr>
          <w:rFonts w:ascii="Century Gothic" w:hAnsi="Century Gothic"/>
          <w:b/>
          <w:vertAlign w:val="subscript"/>
        </w:rPr>
        <w:t>2</w:t>
      </w:r>
      <w:r>
        <w:rPr>
          <w:rFonts w:ascii="Century Gothic" w:hAnsi="Century Gothic"/>
          <w:b/>
        </w:rPr>
        <w:t>-e)</w:t>
      </w:r>
      <w:r>
        <w:rPr>
          <w:rFonts w:ascii="Century Gothic" w:hAnsi="Century Gothic"/>
          <w:b/>
        </w:rPr>
        <w:t>.</w:t>
      </w:r>
      <w:r>
        <w:rPr>
          <w:rFonts w:ascii="Century Gothic" w:hAnsi="Century Gothic"/>
        </w:rPr>
        <w:t xml:space="preserve"> Ce qui sera d’une importance inestimable en terme de contribution à la préservation de l’environnement d’une part et d’autre part à renforcer la contribution nationale déterminer du Pays en terme d’engagement du Pays en faveur de la réduction des Gaz à effet de serre.</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highlight w:val="cyan"/>
        </w:rPr>
      </w:pPr>
    </w:p>
    <w:bookmarkStart w:id="57" w:name="_Toc506538024"/>
    <w:bookmarkStart w:id="58" w:name="_Toc82049067"/>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5.3.2. Au niveau socioéconomique</w:t>
      </w:r>
      <w:bookmarkEnd w:id="57"/>
      <w:bookmarkEnd w:id="58"/>
    </w:p>
    <w:p>
      <w:pPr>
        <w:pStyle w:val="style0"/>
        <w:tabs>
          <w:tab w:val="left" w:leader="none" w:pos="9214"/>
          <w:tab w:val="left" w:leader="none" w:pos="9639"/>
        </w:tabs>
        <w:jc w:val="both"/>
        <w:rPr>
          <w:rFonts w:ascii="Century Gothic" w:hAnsi="Century Gothic"/>
          <w:i/>
          <w:highlight w:val="cyan"/>
        </w:rPr>
      </w:pPr>
    </w:p>
    <w:p>
      <w:pPr>
        <w:pStyle w:val="style179"/>
        <w:numPr>
          <w:ilvl w:val="0"/>
          <w:numId w:val="12"/>
        </w:numPr>
        <w:tabs>
          <w:tab w:val="left" w:leader="none" w:pos="9214"/>
          <w:tab w:val="left" w:leader="none" w:pos="9639"/>
        </w:tabs>
        <w:ind w:left="360"/>
        <w:jc w:val="both"/>
        <w:rPr>
          <w:rFonts w:ascii="Century Gothic" w:hAnsi="Century Gothic"/>
        </w:rPr>
      </w:pPr>
      <w:r>
        <w:rPr>
          <w:rFonts w:ascii="Century Gothic" w:hAnsi="Century Gothic"/>
        </w:rPr>
        <w:t>Les capacités techniques et connaissances acquises lors des séances d’information et de sensibilisation renforceront les aptitudes des communautés et les possibilités de formation d’autres producteurs au sein de la communauté</w:t>
      </w:r>
      <w:r>
        <w:rPr>
          <w:rFonts w:ascii="Century Gothic" w:hAnsi="Century Gothic"/>
        </w:rPr>
        <w:t> ;</w:t>
      </w:r>
      <w:r>
        <w:rPr>
          <w:rFonts w:ascii="Century Gothic" w:hAnsi="Century Gothic"/>
        </w:rPr>
        <w:t xml:space="preserve"> </w:t>
      </w:r>
    </w:p>
    <w:p>
      <w:pPr>
        <w:pStyle w:val="style179"/>
        <w:tabs>
          <w:tab w:val="left" w:leader="none" w:pos="9214"/>
          <w:tab w:val="left" w:leader="none" w:pos="9639"/>
        </w:tabs>
        <w:ind w:left="0"/>
        <w:jc w:val="both"/>
        <w:rPr>
          <w:rFonts w:ascii="Century Gothic" w:hAnsi="Century Gothic"/>
        </w:rPr>
      </w:pPr>
    </w:p>
    <w:p>
      <w:pPr>
        <w:pStyle w:val="style179"/>
        <w:numPr>
          <w:ilvl w:val="0"/>
          <w:numId w:val="12"/>
        </w:numPr>
        <w:tabs>
          <w:tab w:val="left" w:leader="none" w:pos="9214"/>
          <w:tab w:val="left" w:leader="none" w:pos="9639"/>
        </w:tabs>
        <w:ind w:left="360"/>
        <w:jc w:val="both"/>
        <w:rPr>
          <w:rFonts w:ascii="Century Gothic" w:hAnsi="Century Gothic"/>
        </w:rPr>
      </w:pPr>
      <w:r>
        <w:rPr>
          <w:rFonts w:ascii="Century Gothic" w:hAnsi="Century Gothic"/>
        </w:rPr>
        <w:t xml:space="preserve">Les activités de génération de revenus contribueront à la création d’emplois verts </w:t>
      </w:r>
      <w:r>
        <w:rPr>
          <w:rFonts w:ascii="Century Gothic" w:hAnsi="Century Gothic"/>
        </w:rPr>
        <w:t>dans les secteurs d’activités suivantes :</w:t>
      </w:r>
    </w:p>
    <w:p>
      <w:pPr>
        <w:pStyle w:val="style179"/>
        <w:tabs>
          <w:tab w:val="left" w:leader="none" w:pos="9214"/>
          <w:tab w:val="left" w:leader="none" w:pos="9639"/>
        </w:tabs>
        <w:ind w:left="0"/>
        <w:jc w:val="both"/>
        <w:rPr>
          <w:rFonts w:ascii="Century Gothic" w:hAnsi="Century Gothic"/>
        </w:rPr>
      </w:pPr>
    </w:p>
    <w:p>
      <w:pPr>
        <w:pStyle w:val="style179"/>
        <w:numPr>
          <w:ilvl w:val="0"/>
          <w:numId w:val="13"/>
        </w:numPr>
        <w:tabs>
          <w:tab w:val="left" w:leader="none" w:pos="9214"/>
          <w:tab w:val="left" w:leader="none" w:pos="9639"/>
        </w:tabs>
        <w:ind w:left="360"/>
        <w:jc w:val="both"/>
        <w:rPr>
          <w:rFonts w:ascii="Century Gothic" w:hAnsi="Century Gothic"/>
        </w:rPr>
      </w:pPr>
      <w:r>
        <w:rPr>
          <w:rFonts w:ascii="Century Gothic" w:hAnsi="Century Gothic"/>
          <w:i/>
          <w:u w:val="single"/>
        </w:rPr>
        <w:t>La production de plants dans la pépinière multifonctionnelle</w:t>
      </w:r>
      <w:r>
        <w:rPr>
          <w:rFonts w:ascii="Century Gothic" w:hAnsi="Century Gothic"/>
        </w:rPr>
        <w:t xml:space="preserve"> permettra </w:t>
      </w:r>
      <w:r>
        <w:rPr>
          <w:rFonts w:ascii="Century Gothic" w:hAnsi="Century Gothic"/>
        </w:rPr>
        <w:t>aux pépiniéristes</w:t>
      </w:r>
      <w:r>
        <w:rPr>
          <w:rFonts w:ascii="Century Gothic" w:hAnsi="Century Gothic"/>
        </w:rPr>
        <w:t xml:space="preserve"> de générer en moyenne </w:t>
      </w:r>
      <w:r>
        <w:rPr>
          <w:rFonts w:ascii="Century Gothic" w:hAnsi="Century Gothic"/>
        </w:rPr>
        <w:t>11 737 5</w:t>
      </w:r>
      <w:r>
        <w:rPr>
          <w:rFonts w:ascii="Century Gothic" w:hAnsi="Century Gothic"/>
        </w:rPr>
        <w:t xml:space="preserve">00 F CFA dans la vente des plants. A cela s’ajoutera les recettes </w:t>
      </w:r>
      <w:r>
        <w:rPr>
          <w:rFonts w:ascii="Century Gothic" w:hAnsi="Century Gothic"/>
        </w:rPr>
        <w:t xml:space="preserve">qui pourront être générées </w:t>
      </w:r>
      <w:r>
        <w:rPr>
          <w:rFonts w:ascii="Century Gothic" w:hAnsi="Century Gothic"/>
        </w:rPr>
        <w:t xml:space="preserve">des productions de contre saison comme les choux, les tomates, le piment, les aubergines, etc. </w:t>
      </w:r>
      <w:r>
        <w:rPr>
          <w:rFonts w:ascii="Century Gothic" w:hAnsi="Century Gothic"/>
        </w:rPr>
        <w:t xml:space="preserve">augmenteront les revenus d’au moins trente (30) femmes </w:t>
      </w:r>
      <w:r>
        <w:rPr>
          <w:rFonts w:ascii="Century Gothic" w:hAnsi="Century Gothic"/>
        </w:rPr>
        <w:t>de la coopérative</w:t>
      </w:r>
      <w:r>
        <w:rPr>
          <w:rFonts w:ascii="Century Gothic" w:hAnsi="Century Gothic"/>
        </w:rPr>
        <w:t xml:space="preserve"> </w:t>
      </w:r>
      <w:r>
        <w:rPr>
          <w:rFonts w:ascii="Century Gothic" w:hAnsi="Century Gothic"/>
        </w:rPr>
        <w:t>Song Taaba Maboltenga</w:t>
      </w:r>
      <w:r>
        <w:rPr>
          <w:rFonts w:ascii="Century Gothic" w:hAnsi="Century Gothic"/>
          <w:bCs/>
        </w:rPr>
        <w:t xml:space="preserve"> de Gonré</w:t>
      </w:r>
      <w:r>
        <w:rPr>
          <w:rFonts w:ascii="Century Gothic" w:hAnsi="Century Gothic"/>
          <w:bCs/>
        </w:rPr>
        <w:t> </w:t>
      </w:r>
      <w:r>
        <w:rPr>
          <w:rFonts w:ascii="Century Gothic" w:hAnsi="Century Gothic"/>
        </w:rPr>
        <w:t>;</w:t>
      </w:r>
    </w:p>
    <w:p>
      <w:pPr>
        <w:pStyle w:val="style179"/>
        <w:tabs>
          <w:tab w:val="left" w:leader="none" w:pos="9214"/>
          <w:tab w:val="left" w:leader="none" w:pos="9639"/>
        </w:tabs>
        <w:ind w:left="0"/>
        <w:jc w:val="both"/>
        <w:rPr>
          <w:rFonts w:ascii="Century Gothic" w:hAnsi="Century Gothic"/>
        </w:rPr>
      </w:pPr>
    </w:p>
    <w:p>
      <w:pPr>
        <w:pStyle w:val="style179"/>
        <w:numPr>
          <w:ilvl w:val="0"/>
          <w:numId w:val="13"/>
        </w:numPr>
        <w:tabs>
          <w:tab w:val="left" w:leader="none" w:pos="9214"/>
          <w:tab w:val="left" w:leader="none" w:pos="9639"/>
        </w:tabs>
        <w:ind w:left="426"/>
        <w:jc w:val="both"/>
        <w:rPr>
          <w:rFonts w:ascii="Century Gothic" w:hAnsi="Century Gothic"/>
        </w:rPr>
      </w:pPr>
      <w:r>
        <w:rPr>
          <w:rFonts w:ascii="Century Gothic" w:hAnsi="Century Gothic"/>
          <w:i/>
          <w:u w:val="single"/>
        </w:rPr>
        <w:t>Le développement de l’apiculture</w:t>
      </w:r>
      <w:r>
        <w:rPr>
          <w:rFonts w:ascii="Century Gothic" w:hAnsi="Century Gothic"/>
        </w:rPr>
        <w:t xml:space="preserve"> offrira l’opportunité à vingt (20) </w:t>
      </w:r>
      <w:r>
        <w:rPr>
          <w:rFonts w:ascii="Century Gothic" w:hAnsi="Century Gothic"/>
        </w:rPr>
        <w:t xml:space="preserve">jeunes </w:t>
      </w:r>
      <w:r>
        <w:rPr>
          <w:rFonts w:ascii="Century Gothic" w:hAnsi="Century Gothic"/>
        </w:rPr>
        <w:t xml:space="preserve">et femmes de diversifier leurs sources de revenus. En effet, sur la base d’une production annuelle moyenne de 30 kg de miel par ruche, chaque bénéficiaire, avec cinq (5) ruches génèrera environ 150gk de miel. Ce qui donne, sur la base de 2000 F CFA le kg de miel, un revenu d’environ 300 000 F CFA par an et par bénéficiaire. </w:t>
      </w:r>
    </w:p>
    <w:p>
      <w:pPr>
        <w:pStyle w:val="style179"/>
        <w:rPr>
          <w:rFonts w:ascii="Century Gothic" w:hAnsi="Century Gothic"/>
        </w:rPr>
      </w:pPr>
    </w:p>
    <w:p>
      <w:pPr>
        <w:pStyle w:val="style179"/>
        <w:numPr>
          <w:ilvl w:val="0"/>
          <w:numId w:val="13"/>
        </w:numPr>
        <w:tabs>
          <w:tab w:val="left" w:leader="none" w:pos="9214"/>
          <w:tab w:val="left" w:leader="none" w:pos="9639"/>
        </w:tabs>
        <w:ind w:left="0"/>
        <w:jc w:val="both"/>
        <w:rPr>
          <w:rFonts w:ascii="Century Gothic" w:hAnsi="Century Gothic"/>
        </w:rPr>
      </w:pPr>
    </w:p>
    <w:p>
      <w:pPr>
        <w:pStyle w:val="style179"/>
        <w:numPr>
          <w:ilvl w:val="0"/>
          <w:numId w:val="13"/>
        </w:numPr>
        <w:tabs>
          <w:tab w:val="left" w:leader="none" w:pos="9214"/>
          <w:tab w:val="left" w:leader="none" w:pos="9639"/>
        </w:tabs>
        <w:ind w:left="360"/>
        <w:jc w:val="both"/>
        <w:rPr>
          <w:rFonts w:ascii="Century Gothic" w:hAnsi="Century Gothic"/>
        </w:rPr>
      </w:pPr>
      <w:r>
        <w:rPr>
          <w:rFonts w:ascii="Century Gothic" w:hAnsi="Century Gothic"/>
          <w:i/>
          <w:u w:val="single"/>
        </w:rPr>
        <w:t>La promotion de l’aviculture</w:t>
      </w:r>
      <w:r>
        <w:rPr>
          <w:rFonts w:ascii="Century Gothic" w:hAnsi="Century Gothic"/>
        </w:rPr>
        <w:t xml:space="preserve"> offrira des opportunités de renforcement des revenus de trente femmes de la coopérative </w:t>
      </w:r>
      <w:r>
        <w:rPr>
          <w:rFonts w:ascii="Century Gothic" w:hAnsi="Century Gothic"/>
        </w:rPr>
        <w:t>Baré sakia de Baré</w:t>
      </w:r>
      <w:r>
        <w:rPr>
          <w:rFonts w:ascii="Century Gothic" w:hAnsi="Century Gothic"/>
        </w:rPr>
        <w:t>. Sur la base d’</w:t>
      </w:r>
      <w:r>
        <w:rPr>
          <w:rFonts w:ascii="Century Gothic" w:hAnsi="Century Gothic"/>
        </w:rPr>
        <w:t xml:space="preserve">une dotation </w:t>
      </w:r>
      <w:r>
        <w:rPr>
          <w:rFonts w:ascii="Century Gothic" w:hAnsi="Century Gothic"/>
        </w:rPr>
        <w:t xml:space="preserve">de base de 10 poules et d’un coq, chaque bénéficiaire </w:t>
      </w:r>
      <w:r>
        <w:rPr>
          <w:rFonts w:ascii="Century Gothic" w:hAnsi="Century Gothic"/>
        </w:rPr>
        <w:t xml:space="preserve">pourra </w:t>
      </w:r>
      <w:r>
        <w:rPr>
          <w:rFonts w:ascii="Century Gothic" w:hAnsi="Century Gothic"/>
        </w:rPr>
        <w:t>élever au moins 50 poussins par semestre. Leur vente au bout de six mois contribuera, sur la base de 2500 F CFA le poulet, à la génération d’au moins 125 000 F CFA par femme et par semestre. Ce qui constitue, dans le contexte rural, un grand apport en termes d’amélioration des revenus additionnels</w:t>
      </w:r>
      <w:r>
        <w:rPr>
          <w:rFonts w:ascii="Century Gothic" w:hAnsi="Century Gothic"/>
        </w:rPr>
        <w:t> ;</w:t>
      </w:r>
    </w:p>
    <w:p>
      <w:pPr>
        <w:pStyle w:val="style179"/>
        <w:tabs>
          <w:tab w:val="left" w:leader="none" w:pos="9214"/>
          <w:tab w:val="left" w:leader="none" w:pos="9639"/>
        </w:tabs>
        <w:ind w:left="0"/>
        <w:jc w:val="both"/>
        <w:rPr>
          <w:rFonts w:ascii="Century Gothic" w:hAnsi="Century Gothic"/>
        </w:rPr>
      </w:pPr>
    </w:p>
    <w:p>
      <w:pPr>
        <w:pStyle w:val="style179"/>
        <w:numPr>
          <w:ilvl w:val="0"/>
          <w:numId w:val="13"/>
        </w:numPr>
        <w:tabs>
          <w:tab w:val="left" w:leader="none" w:pos="9214"/>
          <w:tab w:val="left" w:leader="none" w:pos="9639"/>
        </w:tabs>
        <w:ind w:left="360"/>
        <w:jc w:val="both"/>
        <w:rPr>
          <w:rFonts w:ascii="Century Gothic" w:hAnsi="Century Gothic"/>
        </w:rPr>
      </w:pPr>
      <w:r>
        <w:rPr>
          <w:rFonts w:ascii="Century Gothic" w:hAnsi="Century Gothic"/>
          <w:i/>
          <w:u w:val="single"/>
        </w:rPr>
        <w:t>La promotion de l’activité de fauche et de conservation</w:t>
      </w:r>
      <w:r>
        <w:rPr>
          <w:rFonts w:ascii="Century Gothic" w:hAnsi="Century Gothic"/>
        </w:rPr>
        <w:t xml:space="preserve"> constituera une opportunité de création d’emploi verte à travers la fauche et la commercialisation du fourrage naturelle. Le contexte écologique de la commune marqué par une raréfaction des ressources pastorale offre des perspectives assez </w:t>
      </w:r>
      <w:r>
        <w:rPr>
          <w:rFonts w:ascii="Century Gothic" w:hAnsi="Century Gothic"/>
        </w:rPr>
        <w:t>intéressantes</w:t>
      </w:r>
      <w:r>
        <w:rPr>
          <w:rFonts w:ascii="Century Gothic" w:hAnsi="Century Gothic"/>
        </w:rPr>
        <w:t xml:space="preserve"> pour le développement de cette activité comme activité de génération de revenus.  </w:t>
      </w:r>
    </w:p>
    <w:p>
      <w:pPr>
        <w:pStyle w:val="style0"/>
        <w:tabs>
          <w:tab w:val="left" w:leader="none" w:pos="9214"/>
          <w:tab w:val="left" w:leader="none" w:pos="9639"/>
        </w:tabs>
        <w:jc w:val="both"/>
        <w:rPr>
          <w:rFonts w:ascii="Century Gothic" w:hAnsi="Century Gothic"/>
        </w:rPr>
      </w:pPr>
    </w:p>
    <w:p>
      <w:pPr>
        <w:pStyle w:val="style179"/>
        <w:numPr>
          <w:ilvl w:val="0"/>
          <w:numId w:val="12"/>
        </w:numPr>
        <w:tabs>
          <w:tab w:val="left" w:leader="none" w:pos="9214"/>
          <w:tab w:val="left" w:leader="none" w:pos="9639"/>
        </w:tabs>
        <w:ind w:left="360"/>
        <w:jc w:val="both"/>
        <w:rPr>
          <w:rFonts w:ascii="Century Gothic" w:hAnsi="Century Gothic"/>
        </w:rPr>
      </w:pPr>
      <w:r>
        <w:rPr>
          <w:rFonts w:ascii="Century Gothic" w:hAnsi="Century Gothic"/>
        </w:rPr>
        <w:t>Les activités communautaires (unités de transformation, sessions de formations, fonctionnement des comités de gestion, participation aux échanges et rencontres pendant et après le projet, etc.) contribueront à consolider la cohésion sociale et le frottement entre producteurs des différents villages. Ce qui renforce la promotion des expériences endogènes ;</w:t>
      </w:r>
    </w:p>
    <w:p>
      <w:pPr>
        <w:pStyle w:val="style0"/>
        <w:tabs>
          <w:tab w:val="left" w:leader="none" w:pos="9214"/>
          <w:tab w:val="left" w:leader="none" w:pos="9639"/>
        </w:tabs>
        <w:jc w:val="both"/>
        <w:rPr>
          <w:rFonts w:ascii="Century Gothic" w:hAnsi="Century Gothic"/>
          <w:highlight w:val="cyan"/>
        </w:rPr>
      </w:pPr>
    </w:p>
    <w:bookmarkStart w:id="59" w:name="_Toc506538025"/>
    <w:bookmarkStart w:id="60" w:name="_Toc82049068"/>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5.3.3. Au niveau institutionnel</w:t>
      </w:r>
      <w:bookmarkEnd w:id="59"/>
      <w:bookmarkEnd w:id="60"/>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Le processus d’élaboration du PDIC</w:t>
      </w:r>
      <w:r>
        <w:rPr>
          <w:rFonts w:ascii="Century Gothic" w:hAnsi="Century Gothic"/>
        </w:rPr>
        <w:t>/REDD+,</w:t>
      </w:r>
      <w:r>
        <w:rPr>
          <w:rFonts w:ascii="Century Gothic" w:hAnsi="Century Gothic"/>
        </w:rPr>
        <w:t xml:space="preserve"> de par son approche axée sur la participation et concertation multi échelle</w:t>
      </w:r>
      <w:r>
        <w:rPr>
          <w:rFonts w:ascii="Century Gothic" w:hAnsi="Century Gothic"/>
        </w:rPr>
        <w:t>s</w:t>
      </w:r>
      <w:r>
        <w:rPr>
          <w:rFonts w:ascii="Century Gothic" w:hAnsi="Century Gothic"/>
        </w:rPr>
        <w:t xml:space="preserve"> et multi acteurs combinée avec sa particularité d’être un projet axé sur la réduction des émissions </w:t>
      </w:r>
      <w:r>
        <w:rPr>
          <w:rFonts w:ascii="Century Gothic" w:hAnsi="Century Gothic"/>
        </w:rPr>
        <w:t xml:space="preserve">des  Gaz à effet de serre </w:t>
      </w:r>
      <w:r>
        <w:rPr>
          <w:rFonts w:ascii="Century Gothic" w:hAnsi="Century Gothic"/>
        </w:rPr>
        <w:t>et la dégradation des espaces de conservation constitue une expérience additionnelle pour les collectivités locales. Cette expérience acquise constitue une opportunité de prise en compte des questions environnementales émergeantes (crédit carbone, REDD+, etc.) dans la planification locale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 mise en œuvre du PDIC</w:t>
      </w:r>
      <w:r>
        <w:rPr>
          <w:rFonts w:ascii="Century Gothic" w:hAnsi="Century Gothic"/>
        </w:rPr>
        <w:t>/REDD+</w:t>
      </w:r>
      <w:r>
        <w:rPr>
          <w:rFonts w:ascii="Century Gothic" w:hAnsi="Century Gothic"/>
        </w:rPr>
        <w:t xml:space="preserve"> viendra atténuer l’insuffisance des PCD dans le domaine de la conservation de la promotion des initiatives de réduction de déforestation et de la dégradation dans l’espace communal;</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Le PDIC</w:t>
      </w:r>
      <w:r>
        <w:rPr>
          <w:rFonts w:ascii="Century Gothic" w:hAnsi="Century Gothic"/>
        </w:rPr>
        <w:t>/REDD+</w:t>
      </w:r>
      <w:r>
        <w:rPr>
          <w:rFonts w:ascii="Century Gothic" w:hAnsi="Century Gothic"/>
        </w:rPr>
        <w:t xml:space="preserve"> aura un co-bénéfice important aux niveaux politiques et stratégiques à</w:t>
      </w:r>
      <w:r>
        <w:rPr>
          <w:rFonts w:ascii="Century Gothic" w:hAnsi="Century Gothic"/>
        </w:rPr>
        <w:t xml:space="preserve"> savoir une opportunité pour la</w:t>
      </w:r>
      <w:r>
        <w:rPr>
          <w:rFonts w:ascii="Century Gothic" w:hAnsi="Century Gothic"/>
        </w:rPr>
        <w:t xml:space="preserve"> Commune de matérialiser certaines dispositions du Code Générales des collectivités notamment la création et de la gestion des espaces de conservation (Articles 89 et 90).</w:t>
      </w:r>
    </w:p>
    <w:p>
      <w:pPr>
        <w:pStyle w:val="style0"/>
        <w:tabs>
          <w:tab w:val="left" w:leader="none" w:pos="9214"/>
          <w:tab w:val="left" w:leader="none" w:pos="9639"/>
        </w:tabs>
        <w:jc w:val="both"/>
        <w:rPr>
          <w:rFonts w:ascii="Century Gothic" w:hAnsi="Century Gothic"/>
        </w:rPr>
      </w:pPr>
    </w:p>
    <w:bookmarkStart w:id="61" w:name="_Toc506538026"/>
    <w:bookmarkStart w:id="62" w:name="_Toc82049069"/>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VI</w:t>
      </w:r>
      <w:r>
        <w:rPr>
          <w:rFonts w:ascii="Century Gothic" w:hAnsi="Century Gothic"/>
          <w:sz w:val="24"/>
          <w:szCs w:val="24"/>
        </w:rPr>
        <w:t>. Principaux risques dans la mise en œuvre des PDIC/REDD+</w:t>
      </w:r>
      <w:bookmarkEnd w:id="61"/>
      <w:bookmarkEnd w:id="62"/>
    </w:p>
    <w:p>
      <w:pPr>
        <w:pStyle w:val="style0"/>
        <w:tabs>
          <w:tab w:val="left" w:leader="none" w:pos="9214"/>
          <w:tab w:val="left" w:leader="none" w:pos="9639"/>
        </w:tabs>
        <w:jc w:val="both"/>
        <w:rPr>
          <w:rFonts w:ascii="Century Gothic" w:hAnsi="Century Gothic"/>
          <w:b/>
        </w:rPr>
      </w:pPr>
    </w:p>
    <w:bookmarkStart w:id="63" w:name="_Toc506538027"/>
    <w:bookmarkStart w:id="64" w:name="_Toc82049070"/>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6.1. Au niveau environnemental</w:t>
      </w:r>
      <w:bookmarkEnd w:id="63"/>
      <w:bookmarkEnd w:id="64"/>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 mauvaise pluviométrie entrainant de longue et rude sècheresse pourront influencer négativement l’atteinte de l’objectif de renforcement des capacités de séquestration par les opérations d’enrichissements des forêts et d’amélioration des productivités. L’accent devra être mis sur les espèces résistantes aux sécheresses et à croissance rapide ;</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Les risques de disparition totale des quelques reliques forestières existantes de la commune </w:t>
      </w:r>
      <w:r>
        <w:rPr>
          <w:rFonts w:ascii="Century Gothic" w:hAnsi="Century Gothic"/>
        </w:rPr>
        <w:t xml:space="preserve">sont réels </w:t>
      </w:r>
      <w:r>
        <w:rPr>
          <w:rFonts w:ascii="Century Gothic" w:hAnsi="Century Gothic"/>
        </w:rPr>
        <w:t xml:space="preserve">si rien n’est entrepris urgemment en faveur des </w:t>
      </w:r>
      <w:r>
        <w:rPr>
          <w:rFonts w:ascii="Century Gothic" w:hAnsi="Century Gothic"/>
        </w:rPr>
        <w:t xml:space="preserve">trois </w:t>
      </w:r>
      <w:r>
        <w:rPr>
          <w:rFonts w:ascii="Century Gothic" w:hAnsi="Century Gothic"/>
        </w:rPr>
        <w:t>petites forêts existants. La mise en œuvre du PDIC devra permettre d’atténuer ce risque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 mise en œuvre du PDIC en lui-même va engendre</w:t>
      </w:r>
      <w:r>
        <w:rPr>
          <w:rFonts w:ascii="Century Gothic" w:hAnsi="Century Gothic"/>
        </w:rPr>
        <w:t>r</w:t>
      </w:r>
      <w:r>
        <w:rPr>
          <w:rFonts w:ascii="Century Gothic" w:hAnsi="Century Gothic"/>
        </w:rPr>
        <w:t xml:space="preserve"> des émissions de carbone. En effet, les missions de supervisions et de suivi des partenaires et de l’équipe d</w:t>
      </w:r>
      <w:r>
        <w:rPr>
          <w:rFonts w:ascii="Century Gothic" w:hAnsi="Century Gothic"/>
        </w:rPr>
        <w:t>e la mairie et de Ga  Mo Wigna</w:t>
      </w:r>
      <w:r>
        <w:rPr>
          <w:rFonts w:ascii="Century Gothic" w:hAnsi="Century Gothic"/>
        </w:rPr>
        <w:t>, les papiers et autres carburant pour les déplacements des bénéficiaires et des acteurs impliqués dans la gestion du projet sont des sources non négligeables d’émission qui devront faire l’objet d’attention.</w:t>
      </w:r>
      <w:r>
        <w:rPr>
          <w:rFonts w:ascii="Century Gothic" w:hAnsi="Century Gothic"/>
        </w:rPr>
        <w:t xml:space="preserve"> La désignation d’un point focal « sauvegarde environnementale et sociale » au niveau de la coordination de Ga Mo Wigna devra contribuer à</w:t>
      </w:r>
      <w:r>
        <w:rPr>
          <w:rFonts w:ascii="Century Gothic" w:hAnsi="Century Gothic"/>
        </w:rPr>
        <w:t xml:space="preserve"> maintenir le niveau de séquestration envisagé dans le projet à un niveau élevé. </w:t>
      </w:r>
    </w:p>
    <w:p>
      <w:pPr>
        <w:pStyle w:val="style0"/>
        <w:tabs>
          <w:tab w:val="left" w:leader="none" w:pos="9214"/>
          <w:tab w:val="left" w:leader="none" w:pos="9639"/>
        </w:tabs>
        <w:jc w:val="both"/>
        <w:rPr>
          <w:rFonts w:ascii="Century Gothic" w:hAnsi="Century Gothic"/>
        </w:rPr>
      </w:pPr>
    </w:p>
    <w:bookmarkStart w:id="65" w:name="_Toc506538028"/>
    <w:bookmarkStart w:id="66" w:name="_Toc82049071"/>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6.2. Au niveau socioéconomique</w:t>
      </w:r>
      <w:bookmarkEnd w:id="65"/>
      <w:bookmarkEnd w:id="66"/>
    </w:p>
    <w:p>
      <w:pPr>
        <w:pStyle w:val="style0"/>
        <w:tabs>
          <w:tab w:val="left" w:leader="none" w:pos="9214"/>
          <w:tab w:val="left" w:leader="none" w:pos="9639"/>
        </w:tabs>
        <w:jc w:val="both"/>
        <w:rPr>
          <w:rFonts w:ascii="Century Gothic" w:hAnsi="Century Gothic"/>
          <w:highlight w:val="cyan"/>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Les risques de découragement des populations en cas de bénéfices trop faible</w:t>
      </w:r>
      <w:r>
        <w:rPr>
          <w:rFonts w:ascii="Century Gothic" w:hAnsi="Century Gothic"/>
        </w:rPr>
        <w:t>s</w:t>
      </w:r>
      <w:r>
        <w:rPr>
          <w:rFonts w:ascii="Century Gothic" w:hAnsi="Century Gothic"/>
        </w:rPr>
        <w:t xml:space="preserve"> ou tardifs par rapport aux attentes. Ce qui pourrait accentuer les mauvaises pratiques préjudiciables aux efforts de conservations entreprise</w:t>
      </w:r>
      <w:r>
        <w:rPr>
          <w:rFonts w:ascii="Century Gothic" w:hAnsi="Century Gothic"/>
        </w:rPr>
        <w:t>s</w:t>
      </w:r>
      <w:r>
        <w:rPr>
          <w:rFonts w:ascii="Century Gothic" w:hAnsi="Century Gothic"/>
        </w:rPr>
        <w:t>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 non existence de documents formels de création de ces forêts constitue un grand risque en terme de remise en cause des droits foncier</w:t>
      </w:r>
      <w:r>
        <w:rPr>
          <w:rFonts w:ascii="Century Gothic" w:hAnsi="Century Gothic"/>
        </w:rPr>
        <w:t>s</w:t>
      </w:r>
      <w:r>
        <w:rPr>
          <w:rFonts w:ascii="Century Gothic" w:hAnsi="Century Gothic"/>
        </w:rPr>
        <w:t xml:space="preserve"> p</w:t>
      </w:r>
      <w:r>
        <w:rPr>
          <w:rFonts w:ascii="Century Gothic" w:hAnsi="Century Gothic"/>
        </w:rPr>
        <w:t>ar les propriétaires terriens. Pareillement à la mise en œuvre du PDIC/REDD+, un</w:t>
      </w:r>
      <w:r>
        <w:rPr>
          <w:rFonts w:ascii="Century Gothic" w:hAnsi="Century Gothic"/>
        </w:rPr>
        <w:t xml:space="preserve"> processus de classement et d’immatriculation </w:t>
      </w:r>
      <w:r>
        <w:rPr>
          <w:rFonts w:ascii="Century Gothic" w:hAnsi="Century Gothic"/>
        </w:rPr>
        <w:t>de ces deux espaces de conservation devra être entreprise afin d’</w:t>
      </w:r>
      <w:r>
        <w:rPr>
          <w:rFonts w:ascii="Century Gothic" w:hAnsi="Century Gothic"/>
        </w:rPr>
        <w:t>atténuer ce risque</w:t>
      </w:r>
      <w:r>
        <w:rPr>
          <w:rFonts w:ascii="Century Gothic" w:hAnsi="Century Gothic"/>
        </w:rPr>
        <w:t> ;</w:t>
      </w:r>
      <w:r>
        <w:rPr>
          <w:rFonts w:ascii="Century Gothic" w:hAnsi="Century Gothic"/>
        </w:rPr>
        <w:t xml:space="preserve">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L’accaparement des postes de responsabilités dans les différents instances (comité de gestion des forêts, des unités de transformation PLFN</w:t>
      </w:r>
      <w:r>
        <w:rPr>
          <w:rFonts w:ascii="Century Gothic" w:hAnsi="Century Gothic"/>
        </w:rPr>
        <w:t>, etc.)</w:t>
      </w:r>
      <w:r>
        <w:rPr>
          <w:rFonts w:ascii="Century Gothic" w:hAnsi="Century Gothic"/>
        </w:rPr>
        <w:t xml:space="preserve"> </w:t>
      </w:r>
      <w:r>
        <w:rPr>
          <w:rFonts w:ascii="Century Gothic" w:hAnsi="Century Gothic"/>
        </w:rPr>
        <w:t xml:space="preserve">pourra </w:t>
      </w:r>
      <w:r>
        <w:rPr>
          <w:rFonts w:ascii="Century Gothic" w:hAnsi="Century Gothic"/>
        </w:rPr>
        <w:t>entrainer le désengagement des certains bénéficiaires ou des conflits préjudiciables à leur fonctionnement ;</w:t>
      </w:r>
    </w:p>
    <w:p>
      <w:pPr>
        <w:pStyle w:val="style0"/>
        <w:tabs>
          <w:tab w:val="left" w:leader="none" w:pos="9214"/>
          <w:tab w:val="left" w:leader="none" w:pos="9639"/>
        </w:tabs>
        <w:jc w:val="both"/>
        <w:rPr>
          <w:rFonts w:ascii="Century Gothic" w:hAnsi="Century Gothic"/>
          <w:highlight w:val="cyan"/>
        </w:rPr>
      </w:pPr>
    </w:p>
    <w:bookmarkStart w:id="67" w:name="_Toc506538029"/>
    <w:bookmarkStart w:id="68" w:name="_Toc82049072"/>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6.3. Au niveau institutionnel</w:t>
      </w:r>
      <w:bookmarkEnd w:id="67"/>
      <w:bookmarkEnd w:id="68"/>
    </w:p>
    <w:p>
      <w:pPr>
        <w:pStyle w:val="style0"/>
        <w:tabs>
          <w:tab w:val="left" w:leader="none" w:pos="9214"/>
          <w:tab w:val="left" w:leader="none" w:pos="9639"/>
        </w:tabs>
        <w:jc w:val="both"/>
        <w:rPr>
          <w:rFonts w:ascii="Century Gothic" w:hAnsi="Century Gothic"/>
          <w:highlight w:val="cyan"/>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Les lenteurs administratives et la lourdeur des procédures de passation des marchés </w:t>
      </w:r>
      <w:r>
        <w:rPr>
          <w:rFonts w:ascii="Century Gothic" w:hAnsi="Century Gothic"/>
        </w:rPr>
        <w:t xml:space="preserve">contribueront </w:t>
      </w:r>
      <w:r>
        <w:rPr>
          <w:rFonts w:ascii="Century Gothic" w:hAnsi="Century Gothic"/>
        </w:rPr>
        <w:t>d’une part à un faible niveau d’exécution technique et financier, mais entraîneront la non réalisation dans les délais, le report ou simplement l’annulation de certaines réalisations</w:t>
      </w:r>
      <w:r>
        <w:rPr>
          <w:rFonts w:ascii="Century Gothic" w:hAnsi="Century Gothic"/>
        </w:rPr>
        <w:t>.</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L’instabilité politique influencera négativement la mise en œuvre efficace du PDIC</w:t>
      </w:r>
      <w:r>
        <w:rPr>
          <w:rFonts w:ascii="Century Gothic" w:hAnsi="Century Gothic"/>
        </w:rPr>
        <w:t>/REDD+ de la commune</w:t>
      </w:r>
      <w:r>
        <w:rPr>
          <w:rFonts w:ascii="Century Gothic" w:hAnsi="Century Gothic"/>
        </w:rPr>
        <w:t xml:space="preserve"> au regard de la forte implication du conseil municipal dans les prises de certaines décisions nécessaires à la poursuite des certaines activités comme l’adoption des PDIC, l’adoption des </w:t>
      </w:r>
      <w:r>
        <w:rPr>
          <w:rFonts w:ascii="Century Gothic" w:hAnsi="Century Gothic"/>
        </w:rPr>
        <w:t>chartes foncières</w:t>
      </w:r>
      <w:r>
        <w:rPr>
          <w:rFonts w:ascii="Century Gothic" w:hAnsi="Century Gothic"/>
        </w:rPr>
        <w:t xml:space="preserve"> etc.</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u w:val="single"/>
        </w:rPr>
      </w:pPr>
    </w:p>
    <w:p>
      <w:pPr>
        <w:pStyle w:val="style0"/>
        <w:tabs>
          <w:tab w:val="left" w:leader="none" w:pos="9214"/>
          <w:tab w:val="left" w:leader="none" w:pos="9639"/>
        </w:tabs>
        <w:jc w:val="both"/>
        <w:rPr>
          <w:rFonts w:ascii="Century Gothic" w:hAnsi="Century Gothic"/>
        </w:rPr>
        <w:sectPr>
          <w:pgSz w:w="11920" w:h="16840" w:orient="portrait"/>
          <w:pgMar w:top="1134" w:right="1134" w:bottom="1134" w:left="1134" w:header="709" w:footer="709" w:gutter="0"/>
          <w:cols w:space="708"/>
          <w:docGrid w:linePitch="360"/>
        </w:sect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69" w:name="_Toc82049073"/>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u w:val="none"/>
        </w:rPr>
      </w:pPr>
      <w:r>
        <w:rPr>
          <w:rFonts w:ascii="Century Gothic" w:hAnsi="Century Gothic"/>
          <w:sz w:val="24"/>
          <w:szCs w:val="24"/>
          <w:u w:val="none"/>
        </w:rPr>
        <w:t>ANNEXES</w:t>
      </w:r>
      <w:bookmarkEnd w:id="69"/>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spacing w:after="160" w:lineRule="auto" w:line="259"/>
        <w:rPr>
          <w:rFonts w:ascii="Century Gothic" w:hAnsi="Century Gothic"/>
        </w:rPr>
      </w:pPr>
      <w:r>
        <w:rPr>
          <w:rFonts w:ascii="Century Gothic" w:hAnsi="Century Gothic"/>
        </w:rPr>
        <w:br w:type="page"/>
      </w:r>
    </w:p>
    <w:bookmarkStart w:id="70" w:name="_Toc82049074"/>
    <w:p>
      <w:pPr>
        <w:pStyle w:val="style2"/>
        <w:numPr>
          <w:ilvl w:val="0"/>
          <w:numId w:val="0"/>
        </w:numPr>
        <w:rPr/>
      </w:pPr>
      <w:r>
        <w:t xml:space="preserve">Annexe </w:t>
      </w:r>
      <w:r>
        <w:t>1</w:t>
      </w:r>
      <w:r>
        <w:t xml:space="preserve"> : </w:t>
      </w:r>
      <w:r>
        <w:t>Chronogramme indicatif détaillé des activités</w:t>
      </w:r>
      <w:bookmarkEnd w:id="70"/>
    </w:p>
    <w:p>
      <w:pPr>
        <w:pStyle w:val="style0"/>
        <w:tabs>
          <w:tab w:val="left" w:leader="none" w:pos="9214"/>
          <w:tab w:val="left" w:leader="none" w:pos="9639"/>
        </w:tabs>
        <w:rPr>
          <w:rFonts w:ascii="Century Gothic" w:hAnsi="Century Gothic"/>
          <w:b/>
        </w:rPr>
      </w:pPr>
    </w:p>
    <w:tbl>
      <w:tblPr>
        <w:tblW w:w="9634" w:type="dxa"/>
        <w:tblLayout w:type="fixed"/>
        <w:tblCellMar>
          <w:left w:w="70" w:type="dxa"/>
          <w:right w:w="70" w:type="dxa"/>
        </w:tblCellMar>
        <w:tblLook w:val="04A0" w:firstRow="1" w:lastRow="0" w:firstColumn="1" w:lastColumn="0" w:noHBand="0" w:noVBand="1"/>
      </w:tblPr>
      <w:tblGrid>
        <w:gridCol w:w="3256"/>
        <w:gridCol w:w="850"/>
        <w:gridCol w:w="709"/>
        <w:gridCol w:w="709"/>
        <w:gridCol w:w="708"/>
        <w:gridCol w:w="709"/>
        <w:gridCol w:w="1134"/>
        <w:gridCol w:w="1559"/>
      </w:tblGrid>
      <w:tr>
        <w:trPr>
          <w:trHeight w:val="232" w:hRule="atLeast"/>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Résultats/ Activités</w:t>
            </w:r>
          </w:p>
        </w:tc>
        <w:tc>
          <w:tcPr>
            <w:tcW w:w="3685" w:type="dxa"/>
            <w:gridSpan w:val="5"/>
            <w:tcBorders>
              <w:top w:val="single" w:sz="4" w:space="0" w:color="auto"/>
              <w:left w:val="nil"/>
              <w:bottom w:val="single" w:sz="4" w:space="0" w:color="auto"/>
              <w:right w:val="single" w:sz="4" w:space="0" w:color="000000"/>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Période (de Janvier 2022 à décembre 2026)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Responsable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Partenaire de mise en œuvre</w:t>
            </w:r>
          </w:p>
        </w:tc>
      </w:tr>
      <w:tr>
        <w:tblPrEx/>
        <w:trPr>
          <w:trHeight w:val="370" w:hRule="atLeast"/>
          <w:tblHeader/>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An1</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An2</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An3</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An4</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6"/>
                <w:szCs w:val="16"/>
              </w:rPr>
            </w:pPr>
            <w:r>
              <w:rPr>
                <w:rFonts w:ascii="Century Gothic" w:cs="Calibri" w:hAnsi="Century Gothic"/>
                <w:b/>
                <w:bCs/>
                <w:color w:val="000000"/>
                <w:sz w:val="16"/>
                <w:szCs w:val="16"/>
              </w:rPr>
              <w:t>An5</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603"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Au moins 571 hectares de terres communales dont 64,08 hectares sont aménagés et</w:t>
            </w:r>
            <w:r>
              <w:rPr>
                <w:rFonts w:ascii="Century Gothic" w:cs="Calibri" w:hAnsi="Century Gothic"/>
                <w:b/>
                <w:bCs/>
                <w:color w:val="000000"/>
                <w:sz w:val="16"/>
                <w:szCs w:val="16"/>
              </w:rPr>
              <w:t xml:space="preserve"> sécurisés d’ici Décembre 2026 </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270"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4.1.2.1.1.1. Appuyer la production des plants dans l’espace de conservation de Gonré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pépiniéristes,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4.1.2.1.1.2. Réaliser des plantations d’enrichissement/délimitation de la forêt de Gonré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4.1.2.1.1.3.  Réaliser des plantations individuelles dans les villages riverains dans l’espace de conservation de Gonré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4.1.2.1.1.4. Mettre en place un comité villageois de gestion de la forêt villageoise de Gonré.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4.1.2.1.1.5. Former/ recycler 07 membres (06H et 01 F) du comité de gestion / suivi de la charte sur leurs attributions dans l’espace de conservation de Gonré.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4.1.2.1.1.6. Elaborer une charte locale de foncière de la forêt de Gonré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nil"/>
              <w:right w:val="nil"/>
            </w:tcBorders>
            <w:shd w:val="clear" w:color="auto" w:fill="auto"/>
            <w:noWrap/>
            <w:vAlign w:val="bottom"/>
            <w:hideMark/>
          </w:tcPr>
          <w:p>
            <w:pPr>
              <w:pStyle w:val="style0"/>
              <w:jc w:val="center"/>
              <w:rPr>
                <w:rFonts w:ascii="Century Gothic" w:cs="Calibri" w:hAnsi="Century Gothic"/>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4.1.2.1.1.7. Réaliser le bornage de la forêt villageoise de Gonré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4.1.2.1.1.8. Confectionner et fixer cinq (5) de panneaux d'information et de sensibilisation sur la forêt de Gonré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4.1.2.1.1.2. Réaliser des plantations d’enrichissement/délimitation de la forêt de Zecco :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4.1.2.1.1.3.  Réaliser des plantations individuelles dans les villages riverains dans l’espace de conservation de Zecco (villages de Baré et Guian).</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4.1.2.1.1.4. Mettre en place un comité villageois de gestion dans l’espace de conservation de Zecco.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Sous-Activité 4.1.2.1.1.5. Former/ recycler 07 membres (06H et 01 F) du comité de gestion / suivi de la charte sur leurs attributions dans l’espace de conservation de Zecco.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4.1.2.1.1.6. Elaborer une charte locale de foncière de la forêt de Zecco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4.1.2.1.1.7. Réaliser le bornage de la forêt villageoise de Zecco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Sous-Activité 4.1.2.1.1.8. Confectionner et fixer cinq (5) de panneaux d'information et de sensibilisation sur la forêt de Baré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3.4.1. Réaliser des plantations d’enrichissement/délimitation de la forêt sacrée de Baré (1,97 hectares)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3.4.2. Réaliser le bornage de la forêt villageoise sacrée de Baré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4.3.3. Confectionner et fixer deux (2) de panneaux d'information et de sensibilisation sur la forêt sacrés de Baré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170" w:hRule="atLeast"/>
        </w:trPr>
        <w:tc>
          <w:tcPr>
            <w:tcW w:w="3256" w:type="dxa"/>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 </w:t>
            </w:r>
          </w:p>
        </w:tc>
        <w:tc>
          <w:tcPr>
            <w:tcW w:w="850"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000000" w:fill="d9d9d9"/>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559" w:type="dxa"/>
            <w:tcBorders>
              <w:top w:val="nil"/>
              <w:left w:val="nil"/>
              <w:bottom w:val="single" w:sz="4" w:space="0" w:color="auto"/>
              <w:right w:val="single" w:sz="4" w:space="0" w:color="auto"/>
            </w:tcBorders>
            <w:shd w:val="clear" w:color="000000" w:fill="d9d9d9"/>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Au moins 2004 bénéficiaires directs dont 828 femmes mettent en œuvre des initiatives d’amélioration des productivités agropastorales et des revenus dans les espaces de conservation de Gonré, Zecco et Baré entre Janvier 2022 et Décembre 2026 </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4.1.2.2.1. Appuyer 100 producteurs à la production et à l’utilisation du compost dans l’espace de conservation de Gonré (Gonré et zenko-yarcé)</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4.1.2.2.2. Appuyer 100 producteurs la fauche et conservation du fourrage naturel dans les villages riverains de l‘espace de conservation de Gonré (Gonré et zenko-yarcé)</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4.1.2.2.3. Appuyer l’apiculture moderne au profit de 20 jeunes et femmes dans l’espace de conservation de Gonré</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4.4.6. Mettre en place un périmètre maraîcher au profit de la coopérative féminine Song Taaba Maboltenga de Gonré </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4.1.2.2.1. Appuyer 100 producteurs à la production et à l’utilisation du compost dans l’espace de conservation de Baré (villages de Baré et Guian).</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4.1.2.2.2. Appuyer 100 producteurs la fauche et conservation du fourrage naturel dans les villages riverains de l‘espace de conservation de Baré (villages de Baré et Guian)</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4.1.2.2.3. Appuyer l’aviculture villageoise au profit de la coopérative Baré sakia de Baré </w:t>
            </w:r>
          </w:p>
        </w:tc>
        <w:tc>
          <w:tcPr>
            <w:tcW w:w="850"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4.1.2.3.1 : Former 30 élus locaux et leaders villageois de la commune de Zecco sur la gouvernance locale et en législations environnementales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4.1.2.3.2 : Organiser onze (11) séances d'information et de sensibilisation sur la sécurisation foncière dans la commune de Zecco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4.1.2.3.3. Former 200 producteurs en technique de plantation et entretien des espèces végétales dans l’espace de conservation de Gonré (Gonré et zenko-yarcé)</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4.1.2.3.4. Former 100 producteurs à la production et à l’utilisation du compost dans l’espace de conservation de Gonré: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4.1.2.3.5. Former 100 producteurs en technique de fauche et de conservation de fourrage naturel dans l’espace de conservation de Gonré.</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4.1.2.3.6. Former 20 producteurs en techniques apicoles modernes dans l’espace de conservation de Gonré.</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Former 30 membres du groupement féminin Song Taaba Maboltenga en techniques de production maraîchère de Gonré.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4.1.2.3.1. Former 200 producteurs en technique de plantation et entretien des espèces végétales dans l’espace de conservation de Baré (villages de Baré et Guian).</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4.1.2.3.2. Former 100 producteurs à la production et à l’utilisation du compost dans l’espace de conservation de Baré (villages de Baré et Guian).</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4.1.2.3.3. Former 100 producteurs en technique de fauche et de conservation de fourrage naturel dans l’espace de conservation de Baré (villages de Baré et Guian).</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nil"/>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 xml:space="preserve">Activité 4.1.2.3.4. Former 30 membres de la coopérative Baré sakia du village Baré en aviculture.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116" w:hRule="atLeast"/>
        </w:trPr>
        <w:tc>
          <w:tcPr>
            <w:tcW w:w="3256" w:type="dxa"/>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850" w:type="dxa"/>
            <w:tcBorders>
              <w:top w:val="nil"/>
              <w:left w:val="nil"/>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709" w:type="dxa"/>
            <w:tcBorders>
              <w:top w:val="nil"/>
              <w:left w:val="nil"/>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709" w:type="dxa"/>
            <w:tcBorders>
              <w:top w:val="nil"/>
              <w:left w:val="nil"/>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708" w:type="dxa"/>
            <w:tcBorders>
              <w:top w:val="nil"/>
              <w:left w:val="nil"/>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709" w:type="dxa"/>
            <w:tcBorders>
              <w:top w:val="nil"/>
              <w:left w:val="nil"/>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134" w:type="dxa"/>
            <w:tcBorders>
              <w:top w:val="nil"/>
              <w:left w:val="nil"/>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c>
          <w:tcPr>
            <w:tcW w:w="155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6"/>
                <w:szCs w:val="16"/>
              </w:rPr>
            </w:pPr>
            <w:r>
              <w:rPr>
                <w:rFonts w:ascii="Century Gothic" w:cs="Calibri" w:hAnsi="Century Gothic"/>
                <w:b/>
                <w:bCs/>
                <w:i/>
                <w:iCs/>
                <w:color w:val="000000"/>
                <w:sz w:val="16"/>
                <w:szCs w:val="16"/>
              </w:rPr>
              <w:t> </w:t>
            </w:r>
          </w:p>
        </w:tc>
      </w:tr>
      <w:tr>
        <w:tblPrEx/>
        <w:trPr>
          <w:trHeight w:val="487"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6"/>
                <w:szCs w:val="16"/>
              </w:rPr>
            </w:pPr>
            <w:r>
              <w:rPr>
                <w:rFonts w:ascii="Century Gothic" w:cs="Calibri" w:hAnsi="Century Gothic"/>
                <w:b/>
                <w:bCs/>
                <w:color w:val="000000"/>
                <w:sz w:val="16"/>
                <w:szCs w:val="16"/>
              </w:rPr>
              <w:t>Les résultats et enseignements du PDIC/REDD+ de Zecco sont capitalisés et largement diffusés entre Janvier 2022 et Décembre 2026</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4.4.1 Organiser l’atelier de lancement du PDIC </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4.4.2 Suivre la mise en œuvre du PDIC/REDD+ de ZECCO</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4.4.3. Mettre en œuvre des mesures de sauvegarde environnementales et sociales du PDIC/REDD+ de Zecco</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r>
        <w:tblPrEx/>
        <w:trPr>
          <w:trHeight w:val="696" w:hRule="atLeast"/>
        </w:trPr>
        <w:tc>
          <w:tcPr>
            <w:tcW w:w="3256"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6"/>
                <w:szCs w:val="16"/>
              </w:rPr>
            </w:pPr>
            <w:r>
              <w:rPr>
                <w:rFonts w:ascii="Century Gothic" w:cs="Calibri" w:hAnsi="Century Gothic"/>
                <w:color w:val="000000"/>
                <w:sz w:val="16"/>
                <w:szCs w:val="16"/>
              </w:rPr>
              <w:t>Activité 4.4.4 Organiser l’atelier de capitalisation du PDIC/REDD+ de Zecco</w:t>
            </w:r>
          </w:p>
        </w:tc>
        <w:tc>
          <w:tcPr>
            <w:tcW w:w="850"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XX</w:t>
            </w:r>
          </w:p>
        </w:tc>
        <w:tc>
          <w:tcPr>
            <w:tcW w:w="1134"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Maire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6"/>
                <w:szCs w:val="16"/>
              </w:rPr>
            </w:pPr>
            <w:r>
              <w:rPr>
                <w:rFonts w:ascii="Century Gothic" w:cs="Calibri" w:hAnsi="Century Gothic"/>
                <w:color w:val="000000"/>
                <w:sz w:val="16"/>
                <w:szCs w:val="16"/>
              </w:rPr>
              <w:t>COGES, CVD, Service techniques</w:t>
            </w:r>
          </w:p>
        </w:tc>
      </w:tr>
    </w:tbl>
    <w:p>
      <w:pPr>
        <w:pStyle w:val="style0"/>
        <w:tabs>
          <w:tab w:val="left" w:leader="none" w:pos="9214"/>
          <w:tab w:val="left" w:leader="none" w:pos="9639"/>
        </w:tabs>
        <w:rPr>
          <w:rFonts w:ascii="Century Gothic" w:hAnsi="Century Gothic"/>
          <w:b/>
        </w:rPr>
      </w:pPr>
    </w:p>
    <w:p>
      <w:pPr>
        <w:pStyle w:val="style0"/>
        <w:tabs>
          <w:tab w:val="left" w:leader="none" w:pos="9214"/>
          <w:tab w:val="left" w:leader="none" w:pos="9639"/>
        </w:tabs>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0"/>
        <w:spacing w:after="160" w:lineRule="auto" w:line="259"/>
        <w:rPr>
          <w:rFonts w:ascii="Century Gothic" w:hAnsi="Century Gothic"/>
          <w:b/>
        </w:rPr>
      </w:pPr>
      <w:r>
        <w:rPr>
          <w:rFonts w:ascii="Century Gothic" w:hAnsi="Century Gothic"/>
          <w:b/>
        </w:rPr>
        <w:br w:type="page"/>
      </w:r>
    </w:p>
    <w:p>
      <w:pPr>
        <w:pStyle w:val="style0"/>
        <w:tabs>
          <w:tab w:val="left" w:leader="none" w:pos="9214"/>
          <w:tab w:val="left" w:leader="none" w:pos="9639"/>
        </w:tabs>
        <w:jc w:val="both"/>
        <w:rPr>
          <w:rFonts w:ascii="Century Gothic" w:hAnsi="Century Gothic"/>
          <w:b/>
        </w:rPr>
      </w:pPr>
    </w:p>
    <w:bookmarkStart w:id="71" w:name="_Toc82223033"/>
    <w:bookmarkStart w:id="72" w:name="_Toc82049075"/>
    <w:p>
      <w:pPr>
        <w:pStyle w:val="style2"/>
        <w:numPr>
          <w:ilvl w:val="0"/>
          <w:numId w:val="0"/>
        </w:numPr>
        <w:rPr/>
      </w:pPr>
      <w:r>
        <w:t>Annexe 2</w:t>
      </w:r>
      <w:r>
        <w:t> : Listes et contacts des personnes et structures rencontrées</w:t>
      </w:r>
      <w:bookmarkEnd w:id="71"/>
    </w:p>
    <w:p>
      <w:pPr>
        <w:pStyle w:val="style0"/>
        <w:tabs>
          <w:tab w:val="left" w:leader="none" w:pos="9214"/>
          <w:tab w:val="left" w:leader="none" w:pos="9639"/>
        </w:tabs>
        <w:jc w:val="both"/>
        <w:rPr>
          <w:rFonts w:ascii="Century Gothic" w:hAnsi="Century Gothic"/>
          <w:b/>
        </w:rPr>
      </w:pPr>
    </w:p>
    <w:tbl>
      <w:tblPr>
        <w:tblW w:w="5000" w:type="pct"/>
        <w:tblCellMar>
          <w:left w:w="70" w:type="dxa"/>
          <w:right w:w="70" w:type="dxa"/>
        </w:tblCellMar>
        <w:tblLook w:val="04A0" w:firstRow="1" w:lastRow="0" w:firstColumn="1" w:lastColumn="0" w:noHBand="0" w:noVBand="1"/>
      </w:tblPr>
      <w:tblGrid>
        <w:gridCol w:w="6226"/>
        <w:gridCol w:w="3406"/>
      </w:tblGrid>
      <w:tr>
        <w:trPr>
          <w:trHeight w:val="844" w:hRule="atLeast"/>
          <w:tblHeader/>
        </w:trPr>
        <w:tc>
          <w:tcPr>
            <w:tcW w:w="3232" w:type="pct"/>
            <w:tcBorders>
              <w:top w:val="single" w:sz="8" w:space="0" w:color="auto"/>
              <w:left w:val="single" w:sz="8" w:space="0" w:color="auto"/>
              <w:bottom w:val="single" w:sz="4" w:space="0" w:color="auto"/>
              <w:right w:val="single" w:sz="4" w:space="0" w:color="auto"/>
            </w:tcBorders>
            <w:shd w:val="clear" w:color="auto" w:fill="d9d9d9"/>
            <w:noWrap/>
            <w:vAlign w:val="center"/>
            <w:hideMark/>
          </w:tcPr>
          <w:p>
            <w:pPr>
              <w:pStyle w:val="style0"/>
              <w:rPr>
                <w:rFonts w:ascii="Century Gothic" w:cs="Calibri" w:hAnsi="Century Gothic"/>
                <w:b/>
                <w:bCs/>
                <w:color w:val="000000"/>
              </w:rPr>
            </w:pPr>
            <w:r>
              <w:rPr>
                <w:rFonts w:ascii="Century Gothic" w:cs="Calibri" w:hAnsi="Century Gothic"/>
                <w:b/>
                <w:bCs/>
                <w:color w:val="000000"/>
              </w:rPr>
              <w:t>ACTIVITES</w:t>
            </w:r>
          </w:p>
        </w:tc>
        <w:tc>
          <w:tcPr>
            <w:tcW w:w="1768" w:type="pct"/>
            <w:tcBorders>
              <w:top w:val="single" w:sz="8" w:space="0" w:color="auto"/>
              <w:left w:val="nil"/>
              <w:bottom w:val="single" w:sz="4" w:space="0" w:color="auto"/>
              <w:right w:val="single" w:sz="8" w:space="0" w:color="auto"/>
            </w:tcBorders>
            <w:shd w:val="clear" w:color="auto" w:fill="d9d9d9"/>
            <w:vAlign w:val="center"/>
            <w:hideMark/>
          </w:tcPr>
          <w:p>
            <w:pPr>
              <w:pStyle w:val="style0"/>
              <w:rPr>
                <w:rFonts w:ascii="Century Gothic" w:cs="Calibri" w:hAnsi="Century Gothic"/>
                <w:b/>
                <w:bCs/>
                <w:color w:val="000000"/>
              </w:rPr>
            </w:pPr>
            <w:r>
              <w:rPr>
                <w:rFonts w:ascii="Century Gothic" w:cs="Calibri" w:hAnsi="Century Gothic"/>
                <w:b/>
                <w:bCs/>
                <w:color w:val="000000"/>
              </w:rPr>
              <w:t>Estimation de tous les GES (CO2, N20, CH4) en tCO2eq</w:t>
            </w:r>
          </w:p>
        </w:tc>
      </w:tr>
      <w:tr>
        <w:tblPrEx/>
        <w:trPr>
          <w:trHeight w:val="465" w:hRule="atLeast"/>
        </w:trPr>
        <w:tc>
          <w:tcPr>
            <w:tcW w:w="3232" w:type="pct"/>
            <w:tcBorders>
              <w:top w:val="nil"/>
              <w:left w:val="single" w:sz="8" w:space="0" w:color="auto"/>
              <w:bottom w:val="single" w:sz="4" w:space="0" w:color="auto"/>
              <w:right w:val="single" w:sz="4" w:space="0" w:color="auto"/>
            </w:tcBorders>
            <w:shd w:val="clear" w:color="000000" w:fill="e2efda"/>
            <w:vAlign w:val="center"/>
          </w:tcPr>
          <w:p>
            <w:pPr>
              <w:pStyle w:val="style0"/>
              <w:rPr>
                <w:rFonts w:ascii="Century Gothic" w:cs="Calibri" w:hAnsi="Century Gothic"/>
                <w:b/>
                <w:color w:val="000000"/>
              </w:rPr>
            </w:pPr>
            <w:r>
              <w:rPr>
                <w:rFonts w:ascii="Century Gothic" w:cs="Calibri" w:hAnsi="Century Gothic"/>
                <w:b/>
                <w:color w:val="000000"/>
              </w:rPr>
              <w:t>SEQUESTRATION</w:t>
            </w:r>
          </w:p>
        </w:tc>
        <w:tc>
          <w:tcPr>
            <w:tcW w:w="1768" w:type="pct"/>
            <w:tcBorders>
              <w:top w:val="nil"/>
              <w:left w:val="nil"/>
              <w:bottom w:val="single" w:sz="4" w:space="0" w:color="auto"/>
              <w:right w:val="single" w:sz="8" w:space="0" w:color="auto"/>
            </w:tcBorders>
            <w:shd w:val="clear" w:color="000000" w:fill="e2efda"/>
            <w:noWrap/>
            <w:vAlign w:val="bottom"/>
          </w:tcPr>
          <w:p>
            <w:pPr>
              <w:pStyle w:val="style0"/>
              <w:jc w:val="center"/>
              <w:rPr>
                <w:rFonts w:ascii="Century Gothic" w:cs="Calibri" w:hAnsi="Century Gothic"/>
                <w:b/>
                <w:color w:val="000000"/>
              </w:rPr>
            </w:pPr>
          </w:p>
        </w:tc>
      </w:tr>
      <w:tr>
        <w:tblPrEx/>
        <w:trPr>
          <w:trHeight w:val="46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Utilisation de la fumure organique</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- 354,95</w:t>
            </w:r>
          </w:p>
        </w:tc>
      </w:tr>
      <w:tr>
        <w:tblPrEx/>
        <w:trPr>
          <w:trHeight w:val="450"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Plantations individuelles dans les exploitations agricoles</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- 741,31</w:t>
            </w:r>
          </w:p>
        </w:tc>
      </w:tr>
      <w:tr>
        <w:tblPrEx/>
        <w:trPr>
          <w:trHeight w:val="49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Conservation des massifs forestiers</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- 10 834,39</w:t>
            </w:r>
          </w:p>
        </w:tc>
      </w:tr>
      <w:tr>
        <w:tblPrEx/>
        <w:trPr>
          <w:trHeight w:val="465" w:hRule="atLeast"/>
        </w:trPr>
        <w:tc>
          <w:tcPr>
            <w:tcW w:w="3232" w:type="pct"/>
            <w:tcBorders>
              <w:top w:val="nil"/>
              <w:left w:val="single" w:sz="8" w:space="0" w:color="auto"/>
              <w:bottom w:val="single" w:sz="4" w:space="0" w:color="auto"/>
              <w:right w:val="single" w:sz="4" w:space="0" w:color="auto"/>
            </w:tcBorders>
            <w:shd w:val="clear" w:color="000000" w:fill="f8cbad"/>
            <w:vAlign w:val="center"/>
          </w:tcPr>
          <w:p>
            <w:pPr>
              <w:pStyle w:val="style0"/>
              <w:rPr>
                <w:rFonts w:ascii="Century Gothic" w:cs="Calibri" w:hAnsi="Century Gothic"/>
                <w:b/>
                <w:color w:val="000000"/>
              </w:rPr>
            </w:pPr>
            <w:r>
              <w:rPr>
                <w:rFonts w:ascii="Century Gothic" w:cs="Calibri" w:hAnsi="Century Gothic"/>
                <w:b/>
                <w:color w:val="000000"/>
              </w:rPr>
              <w:t>EMMISSION</w:t>
            </w:r>
          </w:p>
        </w:tc>
        <w:tc>
          <w:tcPr>
            <w:tcW w:w="1768" w:type="pct"/>
            <w:tcBorders>
              <w:top w:val="nil"/>
              <w:left w:val="nil"/>
              <w:bottom w:val="single" w:sz="4" w:space="0" w:color="auto"/>
              <w:right w:val="single" w:sz="8" w:space="0" w:color="auto"/>
            </w:tcBorders>
            <w:shd w:val="clear" w:color="000000" w:fill="f8cbad"/>
            <w:noWrap/>
            <w:vAlign w:val="bottom"/>
          </w:tcPr>
          <w:p>
            <w:pPr>
              <w:pStyle w:val="style0"/>
              <w:jc w:val="center"/>
              <w:rPr>
                <w:rFonts w:ascii="Century Gothic" w:cs="Calibri" w:hAnsi="Century Gothic"/>
                <w:b/>
                <w:color w:val="000000"/>
              </w:rPr>
            </w:pPr>
          </w:p>
        </w:tc>
      </w:tr>
      <w:tr>
        <w:tblPrEx/>
        <w:trPr>
          <w:trHeight w:val="46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Bornage</w:t>
            </w:r>
            <w:r>
              <w:rPr>
                <w:rFonts w:ascii="Century Gothic" w:cs="Calibri" w:hAnsi="Century Gothic"/>
                <w:color w:val="000000"/>
              </w:rPr>
              <w:t xml:space="preserve"> des forêts</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0,19</w:t>
            </w:r>
          </w:p>
        </w:tc>
      </w:tr>
      <w:tr>
        <w:tblPrEx/>
        <w:trPr>
          <w:trHeight w:val="43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Panneautage</w:t>
            </w:r>
            <w:r>
              <w:rPr>
                <w:rFonts w:ascii="Century Gothic" w:cs="Calibri" w:hAnsi="Century Gothic"/>
                <w:color w:val="000000"/>
              </w:rPr>
              <w:t xml:space="preserve"> des forêts</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0,04</w:t>
            </w:r>
          </w:p>
        </w:tc>
      </w:tr>
      <w:tr>
        <w:tblPrEx/>
        <w:trPr>
          <w:trHeight w:val="43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Production fumure organique</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4 331,64</w:t>
            </w:r>
          </w:p>
        </w:tc>
      </w:tr>
      <w:tr>
        <w:tblPrEx/>
        <w:trPr>
          <w:trHeight w:val="450"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Déplacement lors la formation élus locaux</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3,03</w:t>
            </w:r>
          </w:p>
        </w:tc>
      </w:tr>
      <w:tr>
        <w:tblPrEx/>
        <w:trPr>
          <w:trHeight w:val="43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Déplacement lors du renouvellement des CCFV</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0,43</w:t>
            </w:r>
          </w:p>
        </w:tc>
      </w:tr>
      <w:tr>
        <w:tblPrEx/>
        <w:trPr>
          <w:trHeight w:val="758"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Déplacement du responsable sauvegarde environnemental et social du PDIC</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8,67</w:t>
            </w:r>
          </w:p>
        </w:tc>
      </w:tr>
      <w:tr>
        <w:tblPrEx/>
        <w:trPr>
          <w:trHeight w:val="37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Déplacement lors de l'atelier de restitution</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3,03</w:t>
            </w:r>
          </w:p>
        </w:tc>
      </w:tr>
      <w:tr>
        <w:tblPrEx/>
        <w:trPr>
          <w:trHeight w:val="450"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Déplacement lors de la session d'adoption</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3,03</w:t>
            </w:r>
          </w:p>
        </w:tc>
      </w:tr>
      <w:tr>
        <w:tblPrEx/>
        <w:trPr>
          <w:trHeight w:val="43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Déplacement lors de l’atelier de lancement</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3,03</w:t>
            </w:r>
          </w:p>
        </w:tc>
      </w:tr>
      <w:tr>
        <w:tblPrEx/>
        <w:trPr>
          <w:trHeight w:val="480"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Déplacement lors de l’atelier de capitalisation</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3,03</w:t>
            </w:r>
          </w:p>
        </w:tc>
      </w:tr>
      <w:tr>
        <w:tblPrEx/>
        <w:trPr>
          <w:trHeight w:val="525" w:hRule="atLeast"/>
        </w:trPr>
        <w:tc>
          <w:tcPr>
            <w:tcW w:w="3232" w:type="pct"/>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rPr>
            </w:pPr>
            <w:r>
              <w:rPr>
                <w:rFonts w:ascii="Century Gothic" w:cs="Calibri" w:hAnsi="Century Gothic"/>
                <w:color w:val="000000"/>
              </w:rPr>
              <w:t>Utilisation électricité dans le cadre de la gestion du projet</w:t>
            </w:r>
          </w:p>
        </w:tc>
        <w:tc>
          <w:tcPr>
            <w:tcW w:w="1768" w:type="pct"/>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rPr>
            </w:pPr>
            <w:r>
              <w:rPr>
                <w:rFonts w:ascii="Century Gothic" w:cs="Calibri" w:hAnsi="Century Gothic"/>
                <w:color w:val="000000"/>
              </w:rPr>
              <w:t>13,75</w:t>
            </w:r>
          </w:p>
        </w:tc>
      </w:tr>
      <w:tr>
        <w:tblPrEx/>
        <w:trPr>
          <w:trHeight w:val="465" w:hRule="atLeast"/>
        </w:trPr>
        <w:tc>
          <w:tcPr>
            <w:tcW w:w="3232" w:type="pct"/>
            <w:tcBorders>
              <w:top w:val="nil"/>
              <w:left w:val="single" w:sz="8" w:space="0" w:color="auto"/>
              <w:bottom w:val="single" w:sz="8" w:space="0" w:color="auto"/>
              <w:right w:val="single" w:sz="4" w:space="0" w:color="auto"/>
            </w:tcBorders>
            <w:shd w:val="clear" w:color="000000" w:fill="92d050"/>
            <w:vAlign w:val="center"/>
            <w:hideMark/>
          </w:tcPr>
          <w:p>
            <w:pPr>
              <w:pStyle w:val="style0"/>
              <w:rPr>
                <w:rFonts w:ascii="Century Gothic" w:cs="Calibri" w:hAnsi="Century Gothic"/>
                <w:b/>
                <w:bCs/>
                <w:color w:val="000000"/>
              </w:rPr>
            </w:pPr>
            <w:r>
              <w:rPr>
                <w:rFonts w:ascii="Century Gothic" w:cs="Calibri" w:hAnsi="Century Gothic"/>
                <w:b/>
                <w:bCs/>
                <w:color w:val="000000"/>
              </w:rPr>
              <w:t>Bilan général</w:t>
            </w:r>
          </w:p>
        </w:tc>
        <w:tc>
          <w:tcPr>
            <w:tcW w:w="1768" w:type="pct"/>
            <w:tcBorders>
              <w:top w:val="nil"/>
              <w:left w:val="nil"/>
              <w:bottom w:val="single" w:sz="8" w:space="0" w:color="auto"/>
              <w:right w:val="single" w:sz="8" w:space="0" w:color="auto"/>
            </w:tcBorders>
            <w:shd w:val="clear" w:color="000000" w:fill="92d050"/>
            <w:noWrap/>
            <w:vAlign w:val="bottom"/>
            <w:hideMark/>
          </w:tcPr>
          <w:p>
            <w:pPr>
              <w:pStyle w:val="style0"/>
              <w:jc w:val="center"/>
              <w:rPr>
                <w:rFonts w:ascii="Century Gothic" w:cs="Calibri" w:hAnsi="Century Gothic"/>
                <w:b/>
                <w:bCs/>
                <w:color w:val="000000"/>
              </w:rPr>
            </w:pPr>
            <w:r>
              <w:rPr>
                <w:rFonts w:ascii="Century Gothic" w:cs="Calibri" w:hAnsi="Century Gothic"/>
                <w:b/>
                <w:bCs/>
                <w:color w:val="000000"/>
              </w:rPr>
              <w:t>- 7 561</w:t>
            </w:r>
          </w:p>
        </w:tc>
      </w:tr>
    </w:tbl>
    <w:p>
      <w:pPr>
        <w:pStyle w:val="style0"/>
        <w:tabs>
          <w:tab w:val="left" w:leader="none" w:pos="9214"/>
          <w:tab w:val="left" w:leader="none" w:pos="9639"/>
        </w:tabs>
        <w:jc w:val="both"/>
        <w:rPr>
          <w:rFonts w:ascii="Century Gothic" w:hAnsi="Century Gothic"/>
          <w:b/>
        </w:rPr>
      </w:pPr>
    </w:p>
    <w:p>
      <w:pPr>
        <w:pStyle w:val="style0"/>
        <w:spacing w:after="160" w:lineRule="auto" w:line="259"/>
        <w:rPr>
          <w:rFonts w:ascii="Century Gothic" w:hAnsi="Century Gothic"/>
          <w:b/>
        </w:rPr>
      </w:pPr>
      <w:r>
        <w:rPr>
          <w:rFonts w:ascii="Century Gothic" w:hAnsi="Century Gothic"/>
          <w:b/>
        </w:rPr>
        <w:br w:type="page"/>
      </w:r>
    </w:p>
    <w:p>
      <w:pPr>
        <w:pStyle w:val="style0"/>
        <w:tabs>
          <w:tab w:val="left" w:leader="none" w:pos="9214"/>
          <w:tab w:val="left" w:leader="none" w:pos="9639"/>
        </w:tabs>
        <w:jc w:val="both"/>
        <w:rPr>
          <w:rFonts w:ascii="Century Gothic" w:hAnsi="Century Gothic"/>
          <w:b/>
        </w:rPr>
      </w:pPr>
    </w:p>
    <w:p>
      <w:pPr>
        <w:pStyle w:val="style2"/>
        <w:numPr>
          <w:ilvl w:val="0"/>
          <w:numId w:val="0"/>
        </w:numPr>
        <w:rPr/>
      </w:pPr>
      <w:r>
        <w:t xml:space="preserve">Annexe  </w:t>
      </w:r>
      <w:r>
        <w:t>3</w:t>
      </w:r>
      <w:r>
        <w:t> : Listes et contacts des personnes et structures rencontrées</w:t>
      </w:r>
      <w:bookmarkEnd w:id="72"/>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rPr>
      </w:pPr>
      <w:r>
        <w:rPr>
          <w:rFonts w:ascii="Century Gothic" w:hAnsi="Century Gothic"/>
          <w:b/>
          <w:noProof/>
        </w:rPr>
        <w:drawing>
          <wp:anchor distT="0" distB="0" distL="114300" distR="114300" simplePos="false" relativeHeight="2" behindDoc="true" locked="false" layoutInCell="true" allowOverlap="true">
            <wp:simplePos x="0" y="0"/>
            <wp:positionH relativeFrom="margin">
              <wp:align>right</wp:align>
            </wp:positionH>
            <wp:positionV relativeFrom="paragraph">
              <wp:posOffset>269875</wp:posOffset>
            </wp:positionV>
            <wp:extent cx="6129020" cy="3447574"/>
            <wp:effectExtent l="19050" t="19050" r="24130" b="19685"/>
            <wp:wrapTight wrapText="bothSides">
              <wp:wrapPolygon edited="false">
                <wp:start x="-67" y="-119"/>
                <wp:lineTo x="-67" y="21604"/>
                <wp:lineTo x="21618" y="21604"/>
                <wp:lineTo x="21618" y="-119"/>
                <wp:lineTo x="-67" y="-119"/>
              </wp:wrapPolygon>
            </wp:wrapTight>
            <wp:docPr id="1047" name="Image 9" descr="C:\Users\HP\Desktop\DOSSIER PDIC-GAMOWIGNA\RAPPORT DEMARRAGE PDIC GMW\ZECCO\Liste présence-Zecco.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9"/>
                    <pic:cNvPicPr/>
                  </pic:nvPicPr>
                  <pic:blipFill>
                    <a:blip r:embed="rId19" cstate="print"/>
                    <a:srcRect l="0" t="0" r="0" b="0"/>
                    <a:stretch/>
                  </pic:blipFill>
                  <pic:spPr>
                    <a:xfrm rot="0">
                      <a:off x="0" y="0"/>
                      <a:ext cx="6129020" cy="3447574"/>
                    </a:xfrm>
                    <a:prstGeom prst="rect"/>
                    <a:ln cmpd="sng" cap="flat" w="12700">
                      <a:solidFill>
                        <a:srgbClr val="000000"/>
                      </a:solidFill>
                      <a:prstDash val="solid"/>
                      <a:round/>
                      <a:headEnd/>
                      <a:tailEnd/>
                    </a:ln>
                  </pic:spPr>
                </pic:pic>
              </a:graphicData>
            </a:graphic>
            <wp14:sizeRelH relativeFrom="page">
              <wp14:pctWidth>0</wp14:pctWidth>
            </wp14:sizeRelH>
            <wp14:sizeRelV relativeFrom="page">
              <wp14:pctHeight>0</wp14:pctHeight>
            </wp14:sizeRelV>
          </wp:anchor>
        </w:drawing>
      </w:r>
      <w:r>
        <w:rPr>
          <w:rFonts w:ascii="Century Gothic" w:hAnsi="Century Gothic"/>
        </w:rPr>
        <w:t>Liste des personnes rencontrées lors de la mission exploratoire</w:t>
      </w: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r>
        <w:rPr>
          <w:rFonts w:ascii="Century Gothic" w:hAnsi="Century Gothic"/>
        </w:rPr>
        <w:t>Liste des personnes rencontrées lors de la mission d’investigation complémentaire</w:t>
      </w: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r>
        <w:rPr>
          <w:rFonts w:ascii="Century Gothic" w:hAnsi="Century Gothic"/>
          <w:noProof/>
        </w:rPr>
        <w:drawing>
          <wp:inline distL="0" distT="0" distB="0" distR="0">
            <wp:extent cx="6129020" cy="3447574"/>
            <wp:effectExtent l="19050" t="19050" r="24130" b="19685"/>
            <wp:docPr id="1048" name="Image 17" descr="C:\Users\HP\Desktop\DOSSIER PDIC-GAMOWIGNA\DOCUMENTS PDIC TIEBELE-ZECCO\PDIC ZECCO\Liste présence-Zecco cmplementai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17"/>
                    <pic:cNvPicPr/>
                  </pic:nvPicPr>
                  <pic:blipFill>
                    <a:blip r:embed="rId20" cstate="print"/>
                    <a:srcRect l="0" t="0" r="0" b="0"/>
                    <a:stretch/>
                  </pic:blipFill>
                  <pic:spPr>
                    <a:xfrm rot="0">
                      <a:off x="0" y="0"/>
                      <a:ext cx="6129020" cy="3447574"/>
                    </a:xfrm>
                    <a:prstGeom prst="rect"/>
                    <a:ln cmpd="sng" cap="flat" w="12700">
                      <a:solidFill>
                        <a:srgbClr val="000000"/>
                      </a:solidFill>
                      <a:prstDash val="solid"/>
                      <a:round/>
                      <a:headEnd/>
                      <a:tailEnd/>
                    </a:ln>
                  </pic:spPr>
                </pic:pic>
              </a:graphicData>
            </a:graphic>
          </wp:inline>
        </w:drawing>
      </w:r>
    </w:p>
    <w:p>
      <w:pPr>
        <w:pStyle w:val="style0"/>
        <w:spacing w:after="160" w:lineRule="auto" w:line="259"/>
        <w:rPr>
          <w:rFonts w:ascii="Century Gothic" w:hAnsi="Century Gothic"/>
          <w:b/>
        </w:rPr>
      </w:pPr>
      <w:r>
        <w:rPr>
          <w:rFonts w:ascii="Century Gothic" w:hAnsi="Century Gothic"/>
          <w:b/>
        </w:rPr>
        <w:br w:type="page"/>
      </w:r>
    </w:p>
    <w:bookmarkStart w:id="73" w:name="_Toc82049076"/>
    <w:p>
      <w:pPr>
        <w:pStyle w:val="style2"/>
        <w:numPr>
          <w:ilvl w:val="0"/>
          <w:numId w:val="0"/>
        </w:numPr>
        <w:rPr/>
      </w:pPr>
      <w:r>
        <w:t xml:space="preserve">Annexe  </w:t>
      </w:r>
      <w:r>
        <w:t>4</w:t>
      </w:r>
      <w:bookmarkStart w:id="74" w:name="_GoBack"/>
      <w:bookmarkEnd w:id="74"/>
      <w:r>
        <w:t xml:space="preserve"> : Quelques photos du processus </w:t>
      </w:r>
      <w:r>
        <w:t>d’élaboration du PDIC/REDD+ de Z</w:t>
      </w:r>
      <w:r>
        <w:t>ecco</w:t>
      </w:r>
      <w:bookmarkEnd w:id="73"/>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tbl>
      <w:tblPr>
        <w:tblStyle w:val="style154"/>
        <w:tblW w:w="0" w:type="auto"/>
        <w:tblLook w:val="04A0" w:firstRow="1" w:lastRow="0" w:firstColumn="1" w:lastColumn="0" w:noHBand="0" w:noVBand="1"/>
      </w:tblPr>
      <w:tblGrid>
        <w:gridCol w:w="1769"/>
        <w:gridCol w:w="7873"/>
      </w:tblGrid>
      <w:tr>
        <w:trPr/>
        <w:tc>
          <w:tcPr>
            <w:tcW w:w="1769" w:type="dxa"/>
            <w:tcBorders/>
          </w:tcPr>
          <w:p>
            <w:pPr>
              <w:pStyle w:val="style0"/>
              <w:tabs>
                <w:tab w:val="left" w:leader="none" w:pos="9214"/>
                <w:tab w:val="left" w:leader="none" w:pos="9639"/>
              </w:tabs>
              <w:jc w:val="center"/>
              <w:rPr>
                <w:rFonts w:ascii="Century Gothic" w:hAnsi="Century Gothic"/>
                <w:b/>
              </w:rPr>
            </w:pPr>
            <w:r>
              <w:rPr>
                <w:rFonts w:ascii="Century Gothic" w:hAnsi="Century Gothic"/>
                <w:b/>
              </w:rPr>
              <w:t>ACTIVITES</w:t>
            </w:r>
          </w:p>
        </w:tc>
        <w:tc>
          <w:tcPr>
            <w:tcW w:w="7873" w:type="dxa"/>
            <w:tcBorders/>
          </w:tcPr>
          <w:p>
            <w:pPr>
              <w:pStyle w:val="style0"/>
              <w:tabs>
                <w:tab w:val="left" w:leader="none" w:pos="9214"/>
                <w:tab w:val="left" w:leader="none" w:pos="9639"/>
              </w:tabs>
              <w:jc w:val="center"/>
              <w:rPr>
                <w:rFonts w:ascii="Century Gothic" w:hAnsi="Century Gothic"/>
                <w:b/>
              </w:rPr>
            </w:pPr>
            <w:r>
              <w:rPr>
                <w:rFonts w:ascii="Century Gothic" w:hAnsi="Century Gothic"/>
                <w:b/>
              </w:rPr>
              <w:t>PHOTOS</w:t>
            </w:r>
          </w:p>
        </w:tc>
      </w:tr>
      <w:tr>
        <w:tblPrEx/>
        <w:trPr/>
        <w:tc>
          <w:tcPr>
            <w:tcW w:w="1769" w:type="dxa"/>
            <w:tcBorders/>
          </w:tcPr>
          <w:p>
            <w:pPr>
              <w:pStyle w:val="style0"/>
              <w:tabs>
                <w:tab w:val="left" w:leader="none" w:pos="9214"/>
                <w:tab w:val="left" w:leader="none" w:pos="9639"/>
              </w:tabs>
              <w:rPr>
                <w:rFonts w:ascii="Century Gothic" w:hAnsi="Century Gothic"/>
              </w:rPr>
            </w:pPr>
            <w:r>
              <w:rPr>
                <w:rFonts w:ascii="Century Gothic" w:hAnsi="Century Gothic"/>
              </w:rPr>
              <w:t>Rencontre d’information avec la commission communale du suivi de l’élaboration du PDIC/REDD+</w:t>
            </w:r>
          </w:p>
        </w:tc>
        <w:tc>
          <w:tcPr>
            <w:tcW w:w="7873" w:type="dxa"/>
            <w:tcBorders/>
          </w:tcPr>
          <w:p>
            <w:pPr>
              <w:pStyle w:val="style0"/>
              <w:tabs>
                <w:tab w:val="left" w:leader="none" w:pos="9214"/>
                <w:tab w:val="left" w:leader="none" w:pos="9639"/>
              </w:tabs>
              <w:rPr>
                <w:rFonts w:ascii="Century Gothic" w:hAnsi="Century Gothic"/>
              </w:rPr>
            </w:pPr>
            <w:r>
              <w:rPr>
                <w:rFonts w:ascii="Century Gothic" w:hAnsi="Century Gothic"/>
                <w:noProof/>
              </w:rPr>
              <w:drawing>
                <wp:anchor distT="0" distB="0" distL="114300" distR="114300" simplePos="false" relativeHeight="6" behindDoc="true" locked="false" layoutInCell="true" allowOverlap="true">
                  <wp:simplePos x="0" y="0"/>
                  <wp:positionH relativeFrom="column">
                    <wp:posOffset>13970</wp:posOffset>
                  </wp:positionH>
                  <wp:positionV relativeFrom="paragraph">
                    <wp:posOffset>32385</wp:posOffset>
                  </wp:positionV>
                  <wp:extent cx="4587240" cy="2564130"/>
                  <wp:effectExtent l="0" t="0" r="3810" b="7620"/>
                  <wp:wrapTight wrapText="bothSides">
                    <wp:wrapPolygon edited="false">
                      <wp:start x="0" y="0"/>
                      <wp:lineTo x="0" y="21504"/>
                      <wp:lineTo x="21528" y="21504"/>
                      <wp:lineTo x="21528" y="0"/>
                      <wp:lineTo x="0" y="0"/>
                    </wp:wrapPolygon>
                  </wp:wrapTight>
                  <wp:docPr id="1049" name="Image 18" descr="E:\photos pic zecco\IMG_20210610_113000_29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18"/>
                          <pic:cNvPicPr/>
                        </pic:nvPicPr>
                        <pic:blipFill>
                          <a:blip r:embed="rId21" cstate="print"/>
                          <a:srcRect l="0" t="0" r="0" b="0"/>
                          <a:stretch/>
                        </pic:blipFill>
                        <pic:spPr>
                          <a:xfrm rot="0">
                            <a:off x="0" y="0"/>
                            <a:ext cx="4587240" cy="2564130"/>
                          </a:xfrm>
                          <a:prstGeom prst="rect"/>
                          <a:ln>
                            <a:noFill/>
                          </a:ln>
                        </pic:spPr>
                      </pic:pic>
                    </a:graphicData>
                  </a:graphic>
                  <wp14:sizeRelH relativeFrom="page">
                    <wp14:pctWidth>0</wp14:pctWidth>
                  </wp14:sizeRelH>
                  <wp14:sizeRelV relativeFrom="page">
                    <wp14:pctHeight>0</wp14:pctHeight>
                  </wp14:sizeRelV>
                </wp:anchor>
              </w:drawing>
            </w:r>
          </w:p>
        </w:tc>
      </w:tr>
      <w:tr>
        <w:tblPrEx/>
        <w:trPr/>
        <w:tc>
          <w:tcPr>
            <w:tcW w:w="1769" w:type="dxa"/>
            <w:tcBorders/>
          </w:tcPr>
          <w:p>
            <w:pPr>
              <w:pStyle w:val="style0"/>
              <w:tabs>
                <w:tab w:val="left" w:leader="none" w:pos="9214"/>
                <w:tab w:val="left" w:leader="none" w:pos="9639"/>
              </w:tabs>
              <w:rPr>
                <w:rFonts w:ascii="Century Gothic" w:hAnsi="Century Gothic"/>
              </w:rPr>
            </w:pPr>
            <w:r>
              <w:rPr>
                <w:rFonts w:ascii="Century Gothic" w:hAnsi="Century Gothic"/>
              </w:rPr>
              <w:t>Séance de travail avec lors de la mission préparatoire</w:t>
            </w:r>
          </w:p>
        </w:tc>
        <w:tc>
          <w:tcPr>
            <w:tcW w:w="7873" w:type="dxa"/>
            <w:tcBorders/>
          </w:tcPr>
          <w:p>
            <w:pPr>
              <w:pStyle w:val="style0"/>
              <w:tabs>
                <w:tab w:val="left" w:leader="none" w:pos="9214"/>
                <w:tab w:val="left" w:leader="none" w:pos="9639"/>
              </w:tabs>
              <w:rPr>
                <w:rFonts w:ascii="Century Gothic" w:hAnsi="Century Gothic"/>
              </w:rPr>
            </w:pPr>
            <w:r>
              <w:rPr>
                <w:rFonts w:ascii="Century Gothic" w:hAnsi="Century Gothic"/>
                <w:noProof/>
              </w:rPr>
              <w:drawing>
                <wp:anchor distT="0" distB="0" distL="114300" distR="114300" simplePos="false" relativeHeight="7" behindDoc="true" locked="false" layoutInCell="true" allowOverlap="true">
                  <wp:simplePos x="0" y="0"/>
                  <wp:positionH relativeFrom="column">
                    <wp:posOffset>-62865</wp:posOffset>
                  </wp:positionH>
                  <wp:positionV relativeFrom="paragraph">
                    <wp:posOffset>31115</wp:posOffset>
                  </wp:positionV>
                  <wp:extent cx="4594860" cy="2584450"/>
                  <wp:effectExtent l="0" t="0" r="0" b="6350"/>
                  <wp:wrapTight wrapText="bothSides">
                    <wp:wrapPolygon edited="false">
                      <wp:start x="0" y="0"/>
                      <wp:lineTo x="0" y="21494"/>
                      <wp:lineTo x="21493" y="21494"/>
                      <wp:lineTo x="21493" y="0"/>
                      <wp:lineTo x="0" y="0"/>
                    </wp:wrapPolygon>
                  </wp:wrapTight>
                  <wp:docPr id="1050" name="Image 19" descr="IMG_20210709_101504_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19"/>
                          <pic:cNvPicPr/>
                        </pic:nvPicPr>
                        <pic:blipFill>
                          <a:blip r:embed="rId22" cstate="print"/>
                          <a:srcRect l="0" t="0" r="0" b="0"/>
                          <a:stretch/>
                        </pic:blipFill>
                        <pic:spPr>
                          <a:xfrm rot="0">
                            <a:off x="0" y="0"/>
                            <a:ext cx="4594860" cy="2584450"/>
                          </a:xfrm>
                          <a:prstGeom prst="rect"/>
                          <a:ln>
                            <a:noFill/>
                          </a:ln>
                        </pic:spPr>
                      </pic:pic>
                    </a:graphicData>
                  </a:graphic>
                  <wp14:sizeRelH relativeFrom="page">
                    <wp14:pctWidth>0</wp14:pctWidth>
                  </wp14:sizeRelH>
                  <wp14:sizeRelV relativeFrom="page">
                    <wp14:pctHeight>0</wp14:pctHeight>
                  </wp14:sizeRelV>
                </wp:anchor>
              </w:drawing>
            </w:r>
          </w:p>
        </w:tc>
      </w:tr>
      <w:tr>
        <w:tblPrEx/>
        <w:trPr/>
        <w:tc>
          <w:tcPr>
            <w:tcW w:w="1769" w:type="dxa"/>
            <w:tcBorders/>
          </w:tcPr>
          <w:p>
            <w:pPr>
              <w:pStyle w:val="style0"/>
              <w:tabs>
                <w:tab w:val="left" w:leader="none" w:pos="9214"/>
                <w:tab w:val="left" w:leader="none" w:pos="9639"/>
              </w:tabs>
              <w:rPr>
                <w:rFonts w:ascii="Century Gothic" w:hAnsi="Century Gothic"/>
              </w:rPr>
            </w:pPr>
            <w:r>
              <w:rPr>
                <w:rFonts w:ascii="Century Gothic" w:hAnsi="Century Gothic"/>
              </w:rPr>
              <w:t>Visite des espaces de conservation lors de la mission exploratoire</w:t>
            </w: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tc>
        <w:tc>
          <w:tcPr>
            <w:tcW w:w="7873" w:type="dxa"/>
            <w:tcBorders/>
          </w:tcPr>
          <w:tbl>
            <w:tblPr>
              <w:tblpPr w:leftFromText="141" w:rightFromText="141" w:topFromText="0" w:bottomFromText="0" w:horzAnchor="margin" w:tblpXSpec="left" w:tblpY="24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465"/>
              <w:gridCol w:w="2465"/>
            </w:tblGrid>
            <w:tr>
              <w:trPr/>
              <w:tc>
                <w:tcPr>
                  <w:tcW w:w="1777" w:type="pct"/>
                  <w:tcBorders/>
                  <w:shd w:val="clear" w:color="auto" w:fill="auto"/>
                  <w:vAlign w:val="center"/>
                </w:tcPr>
                <w:p>
                  <w:pPr>
                    <w:pStyle w:val="style0"/>
                    <w:widowControl w:val="false"/>
                    <w:autoSpaceDE w:val="false"/>
                    <w:autoSpaceDN w:val="false"/>
                    <w:adjustRightInd w:val="false"/>
                    <w:ind w:right="318"/>
                    <w:jc w:val="center"/>
                    <w:rPr>
                      <w:rFonts w:ascii="Century Gothic" w:eastAsia="Calibri" w:hAnsi="Century Gothic"/>
                    </w:rPr>
                  </w:pPr>
                  <w:r>
                    <w:rPr>
                      <w:rFonts w:ascii="Century Gothic" w:eastAsia="Calibri" w:hAnsi="Century Gothic"/>
                      <w:noProof/>
                    </w:rPr>
                    <w:drawing>
                      <wp:inline distL="0" distT="0" distB="0" distR="0">
                        <wp:extent cx="1798320" cy="1798320"/>
                        <wp:effectExtent l="0" t="0" r="0" b="0"/>
                        <wp:docPr id="1051" name="Image 22" descr="IMG_20210709_101318_3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22"/>
                                <pic:cNvPicPr/>
                              </pic:nvPicPr>
                              <pic:blipFill>
                                <a:blip r:embed="rId9" cstate="print"/>
                                <a:srcRect l="0" t="0" r="0" b="0"/>
                                <a:stretch/>
                              </pic:blipFill>
                              <pic:spPr>
                                <a:xfrm rot="0">
                                  <a:off x="0" y="0"/>
                                  <a:ext cx="1798320" cy="1798320"/>
                                </a:xfrm>
                                <a:prstGeom prst="rect"/>
                                <a:ln>
                                  <a:noFill/>
                                </a:ln>
                              </pic:spPr>
                            </pic:pic>
                          </a:graphicData>
                        </a:graphic>
                      </wp:inline>
                    </w:drawing>
                  </w:r>
                </w:p>
                <w:p>
                  <w:pPr>
                    <w:pStyle w:val="style0"/>
                    <w:widowControl w:val="false"/>
                    <w:autoSpaceDE w:val="false"/>
                    <w:autoSpaceDN w:val="false"/>
                    <w:adjustRightInd w:val="false"/>
                    <w:ind w:right="318"/>
                    <w:jc w:val="center"/>
                    <w:rPr>
                      <w:rFonts w:ascii="Century Gothic" w:eastAsia="Calibri" w:hAnsi="Century Gothic"/>
                      <w:sz w:val="18"/>
                      <w:szCs w:val="18"/>
                    </w:rPr>
                  </w:pPr>
                  <w:r>
                    <w:rPr>
                      <w:rFonts w:ascii="Century Gothic" w:eastAsia="Calibri" w:hAnsi="Century Gothic"/>
                      <w:sz w:val="18"/>
                      <w:szCs w:val="18"/>
                    </w:rPr>
                    <w:t>Berges du cours d’eau protégée par l’E.C de Barré</w:t>
                  </w:r>
                </w:p>
              </w:tc>
              <w:tc>
                <w:tcPr>
                  <w:tcW w:w="1612" w:type="pct"/>
                  <w:tcBorders/>
                  <w:shd w:val="clear" w:color="auto" w:fill="auto"/>
                  <w:vAlign w:val="center"/>
                </w:tcPr>
                <w:p>
                  <w:pPr>
                    <w:pStyle w:val="style0"/>
                    <w:widowControl w:val="false"/>
                    <w:autoSpaceDE w:val="false"/>
                    <w:autoSpaceDN w:val="false"/>
                    <w:adjustRightInd w:val="false"/>
                    <w:jc w:val="center"/>
                    <w:rPr>
                      <w:rFonts w:ascii="Century Gothic" w:eastAsia="Calibri" w:hAnsi="Century Gothic"/>
                    </w:rPr>
                  </w:pPr>
                  <w:r>
                    <w:rPr>
                      <w:rFonts w:ascii="Century Gothic" w:eastAsia="Calibri" w:hAnsi="Century Gothic"/>
                      <w:noProof/>
                    </w:rPr>
                    <w:drawing>
                      <wp:inline distL="0" distT="0" distB="0" distR="0">
                        <wp:extent cx="1798320" cy="1798320"/>
                        <wp:effectExtent l="0" t="0" r="0" b="0"/>
                        <wp:docPr id="1052" name="Image 21" descr="IMG_20210709_100821_5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21"/>
                                <pic:cNvPicPr/>
                              </pic:nvPicPr>
                              <pic:blipFill>
                                <a:blip r:embed="rId10" cstate="print"/>
                                <a:srcRect l="0" t="0" r="0" b="0"/>
                                <a:stretch/>
                              </pic:blipFill>
                              <pic:spPr>
                                <a:xfrm rot="0">
                                  <a:off x="0" y="0"/>
                                  <a:ext cx="1798320" cy="1798320"/>
                                </a:xfrm>
                                <a:prstGeom prst="rect"/>
                                <a:ln>
                                  <a:noFill/>
                                </a:ln>
                              </pic:spPr>
                            </pic:pic>
                          </a:graphicData>
                        </a:graphic>
                      </wp:inline>
                    </w:drawing>
                  </w:r>
                </w:p>
                <w:p>
                  <w:pPr>
                    <w:pStyle w:val="style0"/>
                    <w:widowControl w:val="false"/>
                    <w:autoSpaceDE w:val="false"/>
                    <w:autoSpaceDN w:val="false"/>
                    <w:adjustRightInd w:val="false"/>
                    <w:jc w:val="center"/>
                    <w:rPr>
                      <w:rFonts w:ascii="Century Gothic" w:eastAsia="Calibri" w:hAnsi="Century Gothic"/>
                      <w:sz w:val="18"/>
                      <w:szCs w:val="18"/>
                    </w:rPr>
                  </w:pPr>
                  <w:r>
                    <w:rPr>
                      <w:rFonts w:ascii="Century Gothic" w:eastAsia="Calibri" w:hAnsi="Century Gothic"/>
                      <w:sz w:val="18"/>
                      <w:szCs w:val="18"/>
                    </w:rPr>
                    <w:t xml:space="preserve">Peuplement de </w:t>
                  </w:r>
                  <w:r>
                    <w:rPr>
                      <w:rFonts w:ascii="Century Gothic" w:eastAsia="Calibri" w:hAnsi="Century Gothic"/>
                      <w:i/>
                      <w:sz w:val="18"/>
                      <w:szCs w:val="18"/>
                    </w:rPr>
                    <w:t>Khaya senegalensis</w:t>
                  </w:r>
                  <w:r>
                    <w:rPr>
                      <w:rFonts w:ascii="Century Gothic" w:eastAsia="Calibri" w:hAnsi="Century Gothic"/>
                      <w:sz w:val="18"/>
                      <w:szCs w:val="18"/>
                    </w:rPr>
                    <w:t xml:space="preserve"> dans l’E.C de Gonré</w:t>
                  </w:r>
                </w:p>
              </w:tc>
              <w:tc>
                <w:tcPr>
                  <w:tcW w:w="1612" w:type="pct"/>
                  <w:tcBorders/>
                  <w:shd w:val="clear" w:color="auto" w:fill="auto"/>
                  <w:vAlign w:val="center"/>
                </w:tcPr>
                <w:p>
                  <w:pPr>
                    <w:pStyle w:val="style0"/>
                    <w:widowControl w:val="false"/>
                    <w:autoSpaceDE w:val="false"/>
                    <w:autoSpaceDN w:val="false"/>
                    <w:adjustRightInd w:val="false"/>
                    <w:jc w:val="center"/>
                    <w:rPr>
                      <w:rFonts w:ascii="Century Gothic" w:eastAsia="Calibri" w:hAnsi="Century Gothic"/>
                    </w:rPr>
                  </w:pPr>
                  <w:r>
                    <w:rPr>
                      <w:rFonts w:ascii="Century Gothic" w:eastAsia="Calibri" w:hAnsi="Century Gothic"/>
                      <w:noProof/>
                    </w:rPr>
                    <w:drawing>
                      <wp:inline distL="0" distT="0" distB="0" distR="0">
                        <wp:extent cx="1798320" cy="1798320"/>
                        <wp:effectExtent l="0" t="0" r="0" b="0"/>
                        <wp:docPr id="1053" name="Image 20" descr="IMG_20210709_100824_3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20"/>
                                <pic:cNvPicPr/>
                              </pic:nvPicPr>
                              <pic:blipFill>
                                <a:blip r:embed="rId11" cstate="print"/>
                                <a:srcRect l="0" t="0" r="0" b="0"/>
                                <a:stretch/>
                              </pic:blipFill>
                              <pic:spPr>
                                <a:xfrm rot="0">
                                  <a:off x="0" y="0"/>
                                  <a:ext cx="1798320" cy="1798320"/>
                                </a:xfrm>
                                <a:prstGeom prst="rect"/>
                                <a:ln>
                                  <a:noFill/>
                                </a:ln>
                              </pic:spPr>
                            </pic:pic>
                          </a:graphicData>
                        </a:graphic>
                      </wp:inline>
                    </w:drawing>
                  </w:r>
                </w:p>
                <w:p>
                  <w:pPr>
                    <w:pStyle w:val="style0"/>
                    <w:widowControl w:val="false"/>
                    <w:autoSpaceDE w:val="false"/>
                    <w:autoSpaceDN w:val="false"/>
                    <w:adjustRightInd w:val="false"/>
                    <w:jc w:val="center"/>
                    <w:rPr>
                      <w:rFonts w:ascii="Century Gothic" w:eastAsia="Calibri" w:hAnsi="Century Gothic"/>
                      <w:sz w:val="18"/>
                      <w:szCs w:val="18"/>
                    </w:rPr>
                  </w:pPr>
                  <w:r>
                    <w:rPr>
                      <w:rFonts w:ascii="Century Gothic" w:eastAsia="Calibri" w:hAnsi="Century Gothic"/>
                      <w:sz w:val="18"/>
                      <w:szCs w:val="18"/>
                    </w:rPr>
                    <w:t>Une concession</w:t>
                  </w:r>
                  <w:r>
                    <w:rPr>
                      <w:rFonts w:ascii="Century Gothic" w:eastAsia="Calibri" w:hAnsi="Century Gothic"/>
                      <w:sz w:val="18"/>
                      <w:szCs w:val="18"/>
                    </w:rPr>
                    <w:t xml:space="preserve"> dans l’E.C. de Gonré</w:t>
                  </w:r>
                </w:p>
              </w:tc>
            </w:tr>
          </w:tbl>
          <w:p>
            <w:pPr>
              <w:pStyle w:val="style0"/>
              <w:tabs>
                <w:tab w:val="left" w:leader="none" w:pos="9214"/>
                <w:tab w:val="left" w:leader="none" w:pos="9639"/>
              </w:tabs>
              <w:rPr>
                <w:rFonts w:ascii="Century Gothic" w:hAnsi="Century Gothic"/>
              </w:rPr>
            </w:pPr>
          </w:p>
        </w:tc>
      </w:tr>
      <w:tr>
        <w:tblPrEx/>
        <w:trPr/>
        <w:tc>
          <w:tcPr>
            <w:tcW w:w="1769" w:type="dxa"/>
            <w:tcBorders/>
          </w:tcPr>
          <w:p>
            <w:pPr>
              <w:pStyle w:val="style0"/>
              <w:tabs>
                <w:tab w:val="left" w:leader="none" w:pos="9214"/>
                <w:tab w:val="left" w:leader="none" w:pos="9639"/>
              </w:tabs>
              <w:rPr>
                <w:rFonts w:ascii="Century Gothic" w:hAnsi="Century Gothic"/>
              </w:rPr>
            </w:pPr>
            <w:r>
              <w:rPr>
                <w:rFonts w:ascii="Century Gothic" w:hAnsi="Century Gothic"/>
              </w:rPr>
              <w:t>Séance de travail lors de la mission d’investigation complémentaire</w:t>
            </w:r>
          </w:p>
        </w:tc>
        <w:tc>
          <w:tcPr>
            <w:tcW w:w="7873" w:type="dxa"/>
            <w:tcBorders/>
          </w:tcPr>
          <w:p>
            <w:pPr>
              <w:pStyle w:val="style0"/>
              <w:tabs>
                <w:tab w:val="left" w:leader="none" w:pos="9214"/>
                <w:tab w:val="left" w:leader="none" w:pos="9639"/>
              </w:tabs>
              <w:rPr>
                <w:rFonts w:ascii="Century Gothic" w:hAnsi="Century Gothic"/>
              </w:rPr>
            </w:pPr>
            <w:r>
              <w:rPr>
                <w:rFonts w:ascii="Century Gothic" w:hAnsi="Century Gothic"/>
                <w:noProof/>
              </w:rPr>
              <w:drawing>
                <wp:anchor distT="0" distB="0" distL="114300" distR="114300" simplePos="false" relativeHeight="8" behindDoc="true" locked="false" layoutInCell="true" allowOverlap="true">
                  <wp:simplePos x="0" y="0"/>
                  <wp:positionH relativeFrom="column">
                    <wp:posOffset>20320</wp:posOffset>
                  </wp:positionH>
                  <wp:positionV relativeFrom="paragraph">
                    <wp:posOffset>281940</wp:posOffset>
                  </wp:positionV>
                  <wp:extent cx="4732302" cy="2661920"/>
                  <wp:effectExtent l="0" t="0" r="0" b="5080"/>
                  <wp:wrapTight wrapText="bothSides">
                    <wp:wrapPolygon edited="false">
                      <wp:start x="0" y="0"/>
                      <wp:lineTo x="0" y="21487"/>
                      <wp:lineTo x="21478" y="21487"/>
                      <wp:lineTo x="21478" y="0"/>
                      <wp:lineTo x="0" y="0"/>
                    </wp:wrapPolygon>
                  </wp:wrapTight>
                  <wp:docPr id="1054" name="Image 24" descr="C:\Users\HP\Desktop\DOSSIER PDIC-GAMOWIGNA\DOCUMENTS PDIC TIEBELE-ZECCO\PDIC ZECCO\Séance de travail mission complémentai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24"/>
                          <pic:cNvPicPr/>
                        </pic:nvPicPr>
                        <pic:blipFill>
                          <a:blip r:embed="rId23" cstate="print"/>
                          <a:srcRect l="0" t="0" r="0" b="0"/>
                          <a:stretch/>
                        </pic:blipFill>
                        <pic:spPr>
                          <a:xfrm rot="0">
                            <a:off x="0" y="0"/>
                            <a:ext cx="4732302" cy="2661920"/>
                          </a:xfrm>
                          <a:prstGeom prst="rect"/>
                          <a:ln>
                            <a:noFill/>
                          </a:ln>
                        </pic:spPr>
                      </pic:pic>
                    </a:graphicData>
                  </a:graphic>
                  <wp14:sizeRelH relativeFrom="page">
                    <wp14:pctWidth>0</wp14:pctWidth>
                  </wp14:sizeRelH>
                  <wp14:sizeRelV relativeFrom="page">
                    <wp14:pctHeight>0</wp14:pctHeight>
                  </wp14:sizeRelV>
                </wp:anchor>
              </w:drawing>
            </w:r>
          </w:p>
        </w:tc>
      </w:tr>
      <w:tr>
        <w:tblPrEx/>
        <w:trPr/>
        <w:tc>
          <w:tcPr>
            <w:tcW w:w="1769" w:type="dxa"/>
            <w:tcBorders/>
          </w:tcPr>
          <w:p>
            <w:pPr>
              <w:pStyle w:val="style0"/>
              <w:tabs>
                <w:tab w:val="left" w:leader="none" w:pos="9214"/>
                <w:tab w:val="left" w:leader="none" w:pos="9639"/>
              </w:tabs>
              <w:rPr>
                <w:rFonts w:ascii="Century Gothic" w:hAnsi="Century Gothic"/>
              </w:rPr>
            </w:pPr>
            <w:r>
              <w:rPr>
                <w:rFonts w:ascii="Century Gothic" w:hAnsi="Century Gothic"/>
              </w:rPr>
              <w:t>Atelier technique restitution du PDIC/REDD+</w:t>
            </w:r>
          </w:p>
        </w:tc>
        <w:tc>
          <w:tcPr>
            <w:tcW w:w="7873"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PM</w:t>
            </w:r>
          </w:p>
        </w:tc>
      </w:tr>
      <w:tr>
        <w:tblPrEx/>
        <w:trPr/>
        <w:tc>
          <w:tcPr>
            <w:tcW w:w="1769" w:type="dxa"/>
            <w:tcBorders/>
          </w:tcPr>
          <w:p>
            <w:pPr>
              <w:pStyle w:val="style0"/>
              <w:tabs>
                <w:tab w:val="left" w:leader="none" w:pos="9214"/>
                <w:tab w:val="left" w:leader="none" w:pos="9639"/>
              </w:tabs>
              <w:rPr>
                <w:rFonts w:ascii="Century Gothic" w:hAnsi="Century Gothic"/>
              </w:rPr>
            </w:pPr>
            <w:r>
              <w:rPr>
                <w:rFonts w:ascii="Century Gothic" w:hAnsi="Century Gothic"/>
              </w:rPr>
              <w:t>Session du conseil municipal pour l’adoption du PDIC/REDD+</w:t>
            </w:r>
          </w:p>
        </w:tc>
        <w:tc>
          <w:tcPr>
            <w:tcW w:w="7873"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PM</w:t>
            </w:r>
          </w:p>
        </w:tc>
      </w:tr>
    </w:tbl>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sectPr>
      <w:pgSz w:w="11920" w:h="16840" w:orient="portrait"/>
      <w:pgMar w:top="1134" w:right="1134" w:bottom="1134" w:left="1134" w:header="709" w:footer="709" w:gutter="0"/>
      <w:pgNumType w:fmt="upperRoman"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altName w:val="Garamond"/>
    <w:panose1 w:val="02020404030003010803"/>
    <w:charset w:val="00"/>
    <w:family w:val="roman"/>
    <w:pitch w:val="variable"/>
    <w:sig w:usb0="00000287" w:usb1="00000000" w:usb2="00000000" w:usb3="00000000" w:csb0="0000009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Arial Narrow">
    <w:altName w:val="Arial Narrow"/>
    <w:panose1 w:val="020b0606020002030204"/>
    <w:charset w:val="00"/>
    <w:family w:val="swiss"/>
    <w:pitch w:val="variable"/>
    <w:sig w:usb0="00000287" w:usb1="00000800" w:usb2="00000000" w:usb3="00000000" w:csb0="0000009F" w:csb1="00000000"/>
  </w:font>
  <w:font w:name="Century Gothic">
    <w:altName w:val="Century Gothic"/>
    <w:panose1 w:val="020b0502020002020204"/>
    <w:charset w:val="00"/>
    <w:family w:val="swiss"/>
    <w:pitch w:val="variable"/>
    <w:sig w:usb0="00000287" w:usb1="00000000"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rPr>
      <w:t>7</w:t>
    </w:r>
    <w:r>
      <w:rPr>
        <w:noProof/>
      </w:rPr>
      <w:fldChar w:fldCharType="end"/>
    </w:r>
  </w:p>
  <w:p>
    <w:pPr>
      <w:pStyle w:val="style0"/>
      <w:widowControl w:val="false"/>
      <w:autoSpaceDE w:val="false"/>
      <w:autoSpaceDN w:val="false"/>
      <w:adjustRightInd w:val="false"/>
      <w:rPr>
        <w:sz w:val="10"/>
        <w:szCs w:val="1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rPr>
      <w:t>VII</w:t>
    </w:r>
    <w:r>
      <w:rPr>
        <w:noProof/>
      </w:rPr>
      <w:fldChar w:fldCharType="end"/>
    </w:r>
  </w:p>
  <w:p>
    <w:pPr>
      <w:pStyle w:val="style0"/>
      <w:widowControl w:val="false"/>
      <w:autoSpaceDE w:val="false"/>
      <w:autoSpaceDN w:val="false"/>
      <w:adjustRightInd w:val="false"/>
      <w:rPr>
        <w:sz w:val="10"/>
        <w:szCs w:val="10"/>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rPr/>
      </w:pPr>
      <w:r>
        <w:rPr>
          <w:rStyle w:val="style38"/>
        </w:rPr>
        <w:footnoteRef/>
      </w:r>
      <w:r>
        <w:t xml:space="preserve"> </w:t>
      </w:r>
      <w:r>
        <w:rPr>
          <w:rFonts w:ascii="Century Gothic" w:hAnsi="Century Gothic"/>
          <w:sz w:val="16"/>
          <w:szCs w:val="16"/>
        </w:rPr>
        <w:t>1US$=</w:t>
      </w:r>
      <w:r>
        <w:rPr>
          <w:rStyle w:val="style4257"/>
          <w:rFonts w:ascii="Century Gothic" w:cs="Arial" w:hAnsi="Century Gothic"/>
          <w:color w:val="202124"/>
          <w:sz w:val="16"/>
          <w:szCs w:val="16"/>
          <w:shd w:val="clear" w:color="auto" w:fill="ffffff"/>
        </w:rPr>
        <w:t>552,48</w:t>
      </w:r>
      <w:r>
        <w:rPr>
          <w:rFonts w:ascii="Century Gothic" w:cs="Arial" w:hAnsi="Century Gothic"/>
          <w:color w:val="202124"/>
          <w:sz w:val="16"/>
          <w:szCs w:val="16"/>
          <w:shd w:val="clear" w:color="auto" w:fill="ffffff"/>
        </w:rPr>
        <w:t> </w:t>
      </w:r>
      <w:r>
        <w:rPr>
          <w:rStyle w:val="style4258"/>
          <w:rFonts w:ascii="Century Gothic" w:cs="Arial" w:hAnsi="Century Gothic"/>
          <w:color w:val="202124"/>
          <w:sz w:val="16"/>
          <w:szCs w:val="16"/>
          <w:shd w:val="clear" w:color="auto" w:fill="ffffff"/>
        </w:rPr>
        <w:t xml:space="preserve">Franc CFA </w:t>
      </w:r>
      <w:r>
        <w:rPr>
          <w:rStyle w:val="style4258"/>
          <w:rFonts w:ascii="Century Gothic" w:cs="Arial" w:hAnsi="Century Gothic"/>
          <w:color w:val="202124"/>
          <w:sz w:val="16"/>
          <w:szCs w:val="16"/>
          <w:shd w:val="clear" w:color="auto" w:fill="ffffff"/>
        </w:rPr>
        <w:t>cours du 03septembre 2021</w:t>
      </w:r>
    </w:p>
  </w:footnote>
  <w:footnote w:id="2">
    <w:p>
      <w:pPr>
        <w:pStyle w:val="style0"/>
        <w:jc w:val="both"/>
        <w:rPr>
          <w:rFonts w:ascii="Century Gothic" w:hAnsi="Century Gothic"/>
          <w:sz w:val="16"/>
          <w:szCs w:val="16"/>
        </w:rPr>
      </w:pPr>
      <w:r>
        <w:rPr>
          <w:rStyle w:val="style38"/>
          <w:rFonts w:ascii="Century Gothic" w:hAnsi="Century Gothic"/>
          <w:sz w:val="16"/>
          <w:szCs w:val="16"/>
        </w:rPr>
        <w:footnoteRef/>
      </w:r>
      <w:r>
        <w:rPr>
          <w:rFonts w:ascii="Century Gothic" w:hAnsi="Century Gothic"/>
          <w:sz w:val="16"/>
          <w:szCs w:val="16"/>
        </w:rPr>
        <w:t xml:space="preserve"> </w:t>
      </w:r>
      <w:r>
        <w:rPr>
          <w:rFonts w:ascii="Century Gothic" w:cs="Calibri" w:hAnsi="Century Gothic"/>
          <w:color w:val="000000"/>
          <w:sz w:val="16"/>
          <w:szCs w:val="16"/>
        </w:rPr>
        <w:t>Utilisation de la fumure organique (75 hectares), Plantations individuelles (432 hectares), Forêts conservées (64,08 hectares)</w:t>
      </w:r>
    </w:p>
    <w:p>
      <w:pPr>
        <w:pStyle w:val="style29"/>
        <w:rPr>
          <w:rFonts w:ascii="Century Gothic" w:hAnsi="Century Gothic"/>
          <w:sz w:val="16"/>
          <w:szCs w:val="16"/>
        </w:rPr>
      </w:pPr>
    </w:p>
  </w:footnote>
  <w:footnote w:id="3">
    <w:p>
      <w:pPr>
        <w:pStyle w:val="style29"/>
        <w:rPr/>
      </w:pPr>
      <w:r>
        <w:rPr>
          <w:rStyle w:val="style38"/>
          <w:rFonts w:ascii="Century Gothic" w:hAnsi="Century Gothic"/>
          <w:sz w:val="16"/>
          <w:szCs w:val="16"/>
        </w:rPr>
        <w:footnoteRef/>
      </w:r>
      <w:r>
        <w:rPr>
          <w:rFonts w:ascii="Century Gothic" w:hAnsi="Century Gothic"/>
          <w:sz w:val="16"/>
          <w:szCs w:val="16"/>
        </w:rPr>
        <w:t xml:space="preserve"> Confère tableau </w:t>
      </w:r>
      <w:r>
        <w:rPr>
          <w:rFonts w:ascii="Century Gothic" w:hAnsi="Century Gothic"/>
          <w:sz w:val="16"/>
          <w:szCs w:val="16"/>
        </w:rPr>
        <w:t>N° VIII sur l</w:t>
      </w:r>
      <w:r>
        <w:rPr>
          <w:rFonts w:ascii="Century Gothic" w:hAnsi="Century Gothic"/>
          <w:sz w:val="16"/>
          <w:szCs w:val="16"/>
        </w:rPr>
        <w:t>es bénéficiaires</w:t>
      </w:r>
    </w:p>
  </w:footnote>
  <w:footnote w:id="4">
    <w:p>
      <w:pPr>
        <w:pStyle w:val="style29"/>
        <w:jc w:val="both"/>
        <w:rPr>
          <w:rFonts w:ascii="Century Gothic" w:hAnsi="Century Gothic"/>
          <w:sz w:val="18"/>
          <w:szCs w:val="18"/>
        </w:rPr>
      </w:pPr>
      <w:r>
        <w:rPr>
          <w:rStyle w:val="style38"/>
        </w:rPr>
        <w:footnoteRef/>
      </w:r>
      <w:r>
        <w:t xml:space="preserve"> </w:t>
      </w:r>
      <w:r>
        <w:rPr>
          <w:rFonts w:ascii="Century Gothic" w:hAnsi="Century Gothic"/>
          <w:sz w:val="18"/>
          <w:szCs w:val="18"/>
        </w:rPr>
        <w:t>Guide méthodologique pour la création des espaces de conservation par les collectivités territoriale (MECV,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CCAE6DE"/>
    <w:lvl w:ilvl="0" w:tplc="E0328A1E">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525E5B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000002"/>
    <w:multiLevelType w:val="hybridMultilevel"/>
    <w:tmpl w:val="C04A66A8"/>
    <w:lvl w:ilvl="0" w:tplc="E0328A1E">
      <w:start w:val="1"/>
      <w:numFmt w:val="bullet"/>
      <w:lvlText w:val="-"/>
      <w:lvlJc w:val="left"/>
      <w:pPr>
        <w:ind w:left="720" w:hanging="360"/>
      </w:pPr>
      <w:rPr>
        <w:rFonts w:ascii="Garamond" w:hAnsi="Garamond"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BE289322"/>
    <w:lvl w:ilvl="0">
      <w:start w:val="1"/>
      <w:numFmt w:val="decimal"/>
      <w:pStyle w:val="style1"/>
      <w:lvlText w:val="%1"/>
      <w:lvlJc w:val="left"/>
      <w:pPr>
        <w:tabs>
          <w:tab w:val="left" w:leader="none" w:pos="432"/>
        </w:tabs>
        <w:ind w:left="432" w:hanging="432"/>
      </w:pPr>
    </w:lvl>
    <w:lvl w:ilvl="1">
      <w:start w:val="1"/>
      <w:numFmt w:val="decimal"/>
      <w:pStyle w:val="style2"/>
      <w:lvlText w:val="%1.%2"/>
      <w:lvlJc w:val="left"/>
      <w:pPr>
        <w:tabs>
          <w:tab w:val="left" w:leader="none" w:pos="576"/>
        </w:tabs>
        <w:ind w:left="576" w:hanging="576"/>
      </w:pPr>
    </w:lvl>
    <w:lvl w:ilvl="2">
      <w:start w:val="1"/>
      <w:numFmt w:val="decimal"/>
      <w:pStyle w:val="style3"/>
      <w:lvlText w:val="%1.%2.%3"/>
      <w:lvlJc w:val="left"/>
      <w:pPr>
        <w:tabs>
          <w:tab w:val="left" w:leader="none" w:pos="720"/>
        </w:tabs>
        <w:ind w:left="720" w:hanging="720"/>
      </w:pPr>
      <w:rPr>
        <w:lang w:val="fr-FR"/>
      </w:rPr>
    </w:lvl>
    <w:lvl w:ilvl="3">
      <w:start w:val="1"/>
      <w:numFmt w:val="decimal"/>
      <w:pStyle w:val="style4"/>
      <w:lvlText w:val="%1.%2.%3.%4"/>
      <w:lvlJc w:val="left"/>
      <w:pPr>
        <w:tabs>
          <w:tab w:val="left" w:leader="none" w:pos="864"/>
        </w:tabs>
        <w:ind w:left="864" w:hanging="864"/>
      </w:pPr>
    </w:lvl>
    <w:lvl w:ilvl="4">
      <w:start w:val="1"/>
      <w:numFmt w:val="decimal"/>
      <w:pStyle w:val="style5"/>
      <w:lvlText w:val="%1.%2.%3.%4.%5"/>
      <w:lvlJc w:val="left"/>
      <w:pPr>
        <w:tabs>
          <w:tab w:val="left" w:leader="none" w:pos="1008"/>
        </w:tabs>
        <w:ind w:left="1008" w:hanging="1008"/>
      </w:pPr>
    </w:lvl>
    <w:lvl w:ilvl="5">
      <w:start w:val="1"/>
      <w:numFmt w:val="decimal"/>
      <w:lvlText w:val="%1.%2.%3.%4.%5.%6"/>
      <w:lvlJc w:val="left"/>
      <w:pPr>
        <w:tabs>
          <w:tab w:val="left" w:leader="none" w:pos="1152"/>
        </w:tabs>
        <w:ind w:left="1152" w:hanging="1152"/>
      </w:pPr>
    </w:lvl>
    <w:lvl w:ilvl="6">
      <w:start w:val="1"/>
      <w:numFmt w:val="decimal"/>
      <w:pStyle w:val="style7"/>
      <w:lvlText w:val="%1.%2.%3.%4.%5.%6.%7"/>
      <w:lvlJc w:val="left"/>
      <w:pPr>
        <w:tabs>
          <w:tab w:val="left" w:leader="none" w:pos="1296"/>
        </w:tabs>
        <w:ind w:left="1296" w:hanging="1296"/>
      </w:pPr>
    </w:lvl>
    <w:lvl w:ilvl="7">
      <w:start w:val="1"/>
      <w:numFmt w:val="decimal"/>
      <w:lvlText w:val="%1.%2.%3.%4.%5.%6.%7.%8"/>
      <w:lvlJc w:val="left"/>
      <w:pPr>
        <w:tabs>
          <w:tab w:val="left" w:leader="none" w:pos="1440"/>
        </w:tabs>
        <w:ind w:left="1440" w:hanging="1440"/>
      </w:pPr>
    </w:lvl>
    <w:lvl w:ilvl="8">
      <w:start w:val="1"/>
      <w:numFmt w:val="decimal"/>
      <w:pStyle w:val="style9"/>
      <w:lvlText w:val="%1.%2.%3.%4.%5.%6.%7.%8.%9"/>
      <w:lvlJc w:val="left"/>
      <w:pPr>
        <w:tabs>
          <w:tab w:val="left" w:leader="none" w:pos="1584"/>
        </w:tabs>
        <w:ind w:left="1584" w:hanging="1584"/>
      </w:pPr>
    </w:lvl>
  </w:abstractNum>
  <w:abstractNum w:abstractNumId="4">
    <w:nsid w:val="00000004"/>
    <w:multiLevelType w:val="hybridMultilevel"/>
    <w:tmpl w:val="5A28151C"/>
    <w:lvl w:ilvl="0" w:tplc="22B85362">
      <w:start w:val="1"/>
      <w:numFmt w:val="bullet"/>
      <w:lvlText w:val="-"/>
      <w:lvlJc w:val="left"/>
      <w:pPr>
        <w:ind w:left="720" w:hanging="360"/>
      </w:pPr>
      <w:rPr>
        <w:rFonts w:ascii="Tahoma" w:cs="Tahoma" w:eastAsia="Calibri" w:hAnsi="Tahoma" w:hint="default"/>
      </w:rPr>
    </w:lvl>
    <w:lvl w:ilvl="1" w:tplc="56CC24E8" w:tentative="1">
      <w:start w:val="1"/>
      <w:numFmt w:val="bullet"/>
      <w:lvlText w:val="o"/>
      <w:lvlJc w:val="left"/>
      <w:pPr>
        <w:ind w:left="1440" w:hanging="360"/>
      </w:pPr>
      <w:rPr>
        <w:rFonts w:ascii="Courier New" w:cs="Courier New" w:hAnsi="Courier New" w:hint="default"/>
      </w:rPr>
    </w:lvl>
    <w:lvl w:ilvl="2" w:tplc="27E8706A" w:tentative="1">
      <w:start w:val="1"/>
      <w:numFmt w:val="bullet"/>
      <w:lvlText w:val=""/>
      <w:lvlJc w:val="left"/>
      <w:pPr>
        <w:ind w:left="2160" w:hanging="360"/>
      </w:pPr>
      <w:rPr>
        <w:rFonts w:ascii="Wingdings" w:hAnsi="Wingdings" w:hint="default"/>
      </w:rPr>
    </w:lvl>
    <w:lvl w:ilvl="3" w:tplc="F680223A" w:tentative="1">
      <w:start w:val="1"/>
      <w:numFmt w:val="bullet"/>
      <w:lvlText w:val=""/>
      <w:lvlJc w:val="left"/>
      <w:pPr>
        <w:ind w:left="2880" w:hanging="360"/>
      </w:pPr>
      <w:rPr>
        <w:rFonts w:ascii="Symbol" w:hAnsi="Symbol" w:hint="default"/>
      </w:rPr>
    </w:lvl>
    <w:lvl w:ilvl="4" w:tplc="51AEFDF0" w:tentative="1">
      <w:start w:val="1"/>
      <w:numFmt w:val="bullet"/>
      <w:lvlText w:val="o"/>
      <w:lvlJc w:val="left"/>
      <w:pPr>
        <w:ind w:left="3600" w:hanging="360"/>
      </w:pPr>
      <w:rPr>
        <w:rFonts w:ascii="Courier New" w:cs="Courier New" w:hAnsi="Courier New" w:hint="default"/>
      </w:rPr>
    </w:lvl>
    <w:lvl w:ilvl="5" w:tplc="ADAE67E8" w:tentative="1">
      <w:start w:val="1"/>
      <w:numFmt w:val="bullet"/>
      <w:lvlText w:val=""/>
      <w:lvlJc w:val="left"/>
      <w:pPr>
        <w:ind w:left="4320" w:hanging="360"/>
      </w:pPr>
      <w:rPr>
        <w:rFonts w:ascii="Wingdings" w:hAnsi="Wingdings" w:hint="default"/>
      </w:rPr>
    </w:lvl>
    <w:lvl w:ilvl="6" w:tplc="88B28FF8" w:tentative="1">
      <w:start w:val="1"/>
      <w:numFmt w:val="bullet"/>
      <w:lvlText w:val=""/>
      <w:lvlJc w:val="left"/>
      <w:pPr>
        <w:ind w:left="5040" w:hanging="360"/>
      </w:pPr>
      <w:rPr>
        <w:rFonts w:ascii="Symbol" w:hAnsi="Symbol" w:hint="default"/>
      </w:rPr>
    </w:lvl>
    <w:lvl w:ilvl="7" w:tplc="C1101AB6" w:tentative="1">
      <w:start w:val="1"/>
      <w:numFmt w:val="bullet"/>
      <w:lvlText w:val="o"/>
      <w:lvlJc w:val="left"/>
      <w:pPr>
        <w:ind w:left="5760" w:hanging="360"/>
      </w:pPr>
      <w:rPr>
        <w:rFonts w:ascii="Courier New" w:cs="Courier New" w:hAnsi="Courier New" w:hint="default"/>
      </w:rPr>
    </w:lvl>
    <w:lvl w:ilvl="8" w:tplc="0A468CF2"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253E11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0000006"/>
    <w:multiLevelType w:val="hybridMultilevel"/>
    <w:tmpl w:val="327624DA"/>
    <w:lvl w:ilvl="0" w:tplc="E0328A1E">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3DE00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DEDA035C"/>
    <w:lvl w:ilvl="0" w:tplc="DAAEEF04">
      <w:start w:val="1"/>
      <w:numFmt w:val="bullet"/>
      <w:lvlText w:val="-"/>
      <w:lvlJc w:val="left"/>
      <w:pPr>
        <w:ind w:left="720" w:hanging="360"/>
      </w:pPr>
      <w:rPr>
        <w:rFonts w:ascii="Calibri" w:cs="Calibri" w:eastAsia="Calibri" w:hAnsi="Calibri"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6CFC65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000000A"/>
    <w:multiLevelType w:val="hybridMultilevel"/>
    <w:tmpl w:val="C5E0C6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4"/>
  </w:num>
  <w:num w:numId="5">
    <w:abstractNumId w:val="8"/>
  </w:num>
  <w:num w:numId="6">
    <w:abstractNumId w:val="10"/>
  </w:num>
  <w:num w:numId="7">
    <w:abstractNumId w:val="5"/>
  </w:num>
  <w:num w:numId="8">
    <w:abstractNumId w:val="3"/>
  </w:num>
  <w:num w:numId="9">
    <w:abstractNumId w:val="3"/>
  </w:num>
  <w:num w:numId="10">
    <w:abstractNumId w:val="3"/>
  </w:num>
  <w:num w:numId="11">
    <w:abstractNumId w:val="3"/>
  </w:num>
  <w:num w:numId="12">
    <w:abstractNumId w:val="7"/>
  </w:num>
  <w:num w:numId="13">
    <w:abstractNumId w:val="2"/>
  </w:num>
  <w:num w:numId="14">
    <w:abstractNumId w:val="1"/>
  </w:num>
  <w:num w:numId="15">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fr-FR" w:bidi="ar-SA" w:eastAsia="en-US"/>
      </w:rPr>
    </w:rPrDefault>
    <w:pPrDefault>
      <w:pPr>
        <w:spacing w:after="160" w:lineRule="auto" w:line="259"/>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lang w:eastAsia="fr-FR"/>
    </w:rPr>
  </w:style>
  <w:style w:type="paragraph" w:styleId="style1">
    <w:name w:val="heading 1"/>
    <w:basedOn w:val="style0"/>
    <w:next w:val="style0"/>
    <w:link w:val="style4097"/>
    <w:qFormat/>
    <w:uiPriority w:val="9"/>
    <w:pPr>
      <w:keepNext/>
      <w:numPr>
        <w:ilvl w:val="0"/>
        <w:numId w:val="1"/>
      </w:numPr>
      <w:spacing w:before="240" w:after="60"/>
      <w:outlineLvl w:val="0"/>
    </w:pPr>
    <w:rPr>
      <w:rFonts w:ascii="Arial" w:hAnsi="Arial"/>
      <w:b/>
      <w:bCs/>
      <w:smallCaps/>
      <w:kern w:val="32"/>
      <w:sz w:val="32"/>
      <w:szCs w:val="32"/>
      <w:u w:val="double"/>
    </w:rPr>
  </w:style>
  <w:style w:type="paragraph" w:styleId="style2">
    <w:name w:val="heading 2"/>
    <w:basedOn w:val="style0"/>
    <w:next w:val="style0"/>
    <w:link w:val="style4098"/>
    <w:qFormat/>
    <w:uiPriority w:val="9"/>
    <w:pPr>
      <w:keepNext/>
      <w:numPr>
        <w:ilvl w:val="1"/>
        <w:numId w:val="1"/>
      </w:numPr>
      <w:outlineLvl w:val="1"/>
    </w:pPr>
    <w:rPr>
      <w:rFonts w:ascii="Arial" w:hAnsi="Arial"/>
      <w:b/>
      <w:bCs/>
      <w:iCs/>
      <w:szCs w:val="28"/>
    </w:rPr>
  </w:style>
  <w:style w:type="paragraph" w:styleId="style3">
    <w:name w:val="heading 3"/>
    <w:basedOn w:val="style0"/>
    <w:next w:val="style0"/>
    <w:link w:val="style4099"/>
    <w:qFormat/>
    <w:pPr>
      <w:keepNext/>
      <w:numPr>
        <w:ilvl w:val="2"/>
        <w:numId w:val="1"/>
      </w:numPr>
      <w:outlineLvl w:val="2"/>
    </w:pPr>
    <w:rPr>
      <w:rFonts w:ascii="Arial" w:hAnsi="Arial"/>
      <w:b/>
      <w:bCs/>
      <w:i/>
      <w:szCs w:val="26"/>
    </w:rPr>
  </w:style>
  <w:style w:type="paragraph" w:styleId="style4">
    <w:name w:val="heading 4"/>
    <w:basedOn w:val="style0"/>
    <w:next w:val="style0"/>
    <w:link w:val="style4100"/>
    <w:qFormat/>
    <w:uiPriority w:val="9"/>
    <w:pPr>
      <w:keepNext/>
      <w:numPr>
        <w:ilvl w:val="3"/>
        <w:numId w:val="1"/>
      </w:numPr>
      <w:tabs>
        <w:tab w:val="clear" w:pos="864"/>
      </w:tabs>
      <w:ind w:left="0" w:firstLine="0"/>
      <w:jc w:val="center"/>
      <w:outlineLvl w:val="3"/>
    </w:pPr>
    <w:rPr>
      <w:rFonts w:ascii="Arial" w:hAnsi="Arial"/>
      <w:b/>
      <w:bCs/>
      <w:u w:val="single"/>
    </w:rPr>
  </w:style>
  <w:style w:type="paragraph" w:styleId="style5">
    <w:name w:val="heading 5"/>
    <w:basedOn w:val="style0"/>
    <w:next w:val="style0"/>
    <w:link w:val="style4101"/>
    <w:qFormat/>
    <w:pPr>
      <w:keepNext/>
      <w:numPr>
        <w:ilvl w:val="4"/>
        <w:numId w:val="1"/>
      </w:numPr>
      <w:tabs>
        <w:tab w:val="clear" w:pos="1008"/>
      </w:tabs>
      <w:ind w:left="900" w:firstLine="0"/>
      <w:outlineLvl w:val="4"/>
    </w:pPr>
    <w:rPr>
      <w:rFonts w:ascii="Arial" w:hAnsi="Arial"/>
      <w:u w:val="single"/>
    </w:rPr>
  </w:style>
  <w:style w:type="paragraph" w:styleId="style7">
    <w:name w:val="heading 7"/>
    <w:basedOn w:val="style0"/>
    <w:next w:val="style0"/>
    <w:link w:val="style4102"/>
    <w:qFormat/>
    <w:pPr>
      <w:keepNext/>
      <w:numPr>
        <w:ilvl w:val="6"/>
        <w:numId w:val="1"/>
      </w:numPr>
      <w:tabs>
        <w:tab w:val="clear" w:pos="1296"/>
      </w:tabs>
      <w:ind w:left="851" w:firstLine="0"/>
      <w:jc w:val="center"/>
      <w:outlineLvl w:val="6"/>
    </w:pPr>
    <w:rPr>
      <w:rFonts w:ascii="Arial" w:hAnsi="Arial"/>
      <w:b/>
      <w:u w:val="single"/>
    </w:rPr>
  </w:style>
  <w:style w:type="paragraph" w:styleId="style8">
    <w:name w:val="heading 8"/>
    <w:basedOn w:val="style0"/>
    <w:next w:val="style0"/>
    <w:link w:val="style4103"/>
    <w:qFormat/>
    <w:pPr>
      <w:keepNext/>
      <w:keepLines/>
      <w:spacing w:before="200"/>
      <w:outlineLvl w:val="7"/>
    </w:pPr>
    <w:rPr>
      <w:rFonts w:ascii="Calibri Light" w:hAnsi="Calibri Light"/>
      <w:color w:val="404040"/>
      <w:sz w:val="20"/>
      <w:szCs w:val="20"/>
    </w:rPr>
  </w:style>
  <w:style w:type="paragraph" w:styleId="style9">
    <w:name w:val="heading 9"/>
    <w:basedOn w:val="style0"/>
    <w:next w:val="style0"/>
    <w:link w:val="style4104"/>
    <w:qFormat/>
    <w:pPr>
      <w:keepNext/>
      <w:numPr>
        <w:ilvl w:val="8"/>
        <w:numId w:val="1"/>
      </w:numPr>
      <w:tabs>
        <w:tab w:val="clear" w:pos="1584"/>
      </w:tabs>
      <w:ind w:left="360" w:firstLine="0"/>
      <w:jc w:val="center"/>
      <w:outlineLvl w:val="8"/>
    </w:pPr>
    <w:rPr>
      <w:rFonts w:ascii="Arial" w:hAnsi="Arial"/>
      <w:b/>
      <w:bC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Titre 1 Car"/>
    <w:basedOn w:val="style65"/>
    <w:next w:val="style4097"/>
    <w:link w:val="style1"/>
    <w:uiPriority w:val="9"/>
    <w:rPr>
      <w:rFonts w:ascii="Arial" w:cs="Times New Roman" w:eastAsia="Times New Roman" w:hAnsi="Arial"/>
      <w:b/>
      <w:bCs/>
      <w:smallCaps/>
      <w:kern w:val="32"/>
      <w:sz w:val="32"/>
      <w:szCs w:val="32"/>
      <w:u w:val="double"/>
      <w:lang w:eastAsia="fr-FR"/>
    </w:rPr>
  </w:style>
  <w:style w:type="character" w:customStyle="1" w:styleId="style4098">
    <w:name w:val="Titre 2 Car"/>
    <w:basedOn w:val="style65"/>
    <w:next w:val="style4098"/>
    <w:link w:val="style2"/>
    <w:uiPriority w:val="9"/>
    <w:rPr>
      <w:rFonts w:ascii="Arial" w:cs="Times New Roman" w:eastAsia="Times New Roman" w:hAnsi="Arial"/>
      <w:b/>
      <w:bCs/>
      <w:iCs/>
      <w:sz w:val="24"/>
      <w:szCs w:val="28"/>
      <w:lang w:eastAsia="fr-FR"/>
    </w:rPr>
  </w:style>
  <w:style w:type="character" w:customStyle="1" w:styleId="style4099">
    <w:name w:val="Titre 3 Car"/>
    <w:basedOn w:val="style65"/>
    <w:next w:val="style4099"/>
    <w:link w:val="style3"/>
    <w:rPr>
      <w:rFonts w:ascii="Arial" w:cs="Times New Roman" w:eastAsia="Times New Roman" w:hAnsi="Arial"/>
      <w:b/>
      <w:bCs/>
      <w:i/>
      <w:sz w:val="24"/>
      <w:szCs w:val="26"/>
      <w:lang w:eastAsia="fr-FR"/>
    </w:rPr>
  </w:style>
  <w:style w:type="character" w:customStyle="1" w:styleId="style4100">
    <w:name w:val="Titre 4 Car"/>
    <w:basedOn w:val="style65"/>
    <w:next w:val="style4100"/>
    <w:link w:val="style4"/>
    <w:uiPriority w:val="9"/>
    <w:rPr>
      <w:rFonts w:ascii="Arial" w:cs="Times New Roman" w:eastAsia="Times New Roman" w:hAnsi="Arial"/>
      <w:b/>
      <w:bCs/>
      <w:sz w:val="24"/>
      <w:szCs w:val="24"/>
      <w:u w:val="single"/>
      <w:lang w:eastAsia="fr-FR"/>
    </w:rPr>
  </w:style>
  <w:style w:type="character" w:customStyle="1" w:styleId="style4101">
    <w:name w:val="Titre 5 Car"/>
    <w:basedOn w:val="style65"/>
    <w:next w:val="style4101"/>
    <w:link w:val="style5"/>
    <w:rPr>
      <w:rFonts w:ascii="Arial" w:cs="Times New Roman" w:eastAsia="Times New Roman" w:hAnsi="Arial"/>
      <w:sz w:val="24"/>
      <w:szCs w:val="24"/>
      <w:u w:val="single"/>
      <w:lang w:eastAsia="fr-FR"/>
    </w:rPr>
  </w:style>
  <w:style w:type="character" w:customStyle="1" w:styleId="style4102">
    <w:name w:val="Titre 7 Car"/>
    <w:basedOn w:val="style65"/>
    <w:next w:val="style4102"/>
    <w:link w:val="style7"/>
    <w:rPr>
      <w:rFonts w:ascii="Arial" w:cs="Times New Roman" w:eastAsia="Times New Roman" w:hAnsi="Arial"/>
      <w:b/>
      <w:sz w:val="24"/>
      <w:szCs w:val="24"/>
      <w:u w:val="single"/>
      <w:lang w:eastAsia="fr-FR"/>
    </w:rPr>
  </w:style>
  <w:style w:type="character" w:customStyle="1" w:styleId="style4103">
    <w:name w:val="Titre 8 Car"/>
    <w:basedOn w:val="style65"/>
    <w:next w:val="style4103"/>
    <w:link w:val="style8"/>
    <w:rPr>
      <w:rFonts w:ascii="Calibri Light" w:cs="Times New Roman" w:eastAsia="Times New Roman" w:hAnsi="Calibri Light"/>
      <w:color w:val="404040"/>
      <w:sz w:val="20"/>
      <w:szCs w:val="20"/>
      <w:lang w:eastAsia="fr-FR"/>
    </w:rPr>
  </w:style>
  <w:style w:type="character" w:customStyle="1" w:styleId="style4104">
    <w:name w:val="Titre 9 Car"/>
    <w:basedOn w:val="style65"/>
    <w:next w:val="style4104"/>
    <w:link w:val="style9"/>
    <w:rPr>
      <w:rFonts w:ascii="Arial" w:cs="Times New Roman" w:eastAsia="Times New Roman" w:hAnsi="Arial"/>
      <w:b/>
      <w:bCs/>
      <w:sz w:val="24"/>
      <w:szCs w:val="24"/>
      <w:lang w:eastAsia="fr-FR"/>
    </w:rPr>
  </w:style>
  <w:style w:type="paragraph" w:customStyle="1" w:styleId="style4105">
    <w:name w:val="Stile1"/>
    <w:basedOn w:val="style0"/>
    <w:next w:val="style4105"/>
    <w:pPr>
      <w:spacing w:after="120"/>
      <w:jc w:val="both"/>
    </w:pPr>
    <w:rPr>
      <w:rFonts w:ascii="Arial Narrow" w:hAnsi="Arial Narrow"/>
      <w:sz w:val="22"/>
      <w:szCs w:val="20"/>
      <w:lang w:val="it-IT"/>
    </w:rPr>
  </w:style>
  <w:style w:type="paragraph" w:styleId="style179">
    <w:name w:val="List Paragraph"/>
    <w:basedOn w:val="style0"/>
    <w:next w:val="style179"/>
    <w:link w:val="style4106"/>
    <w:qFormat/>
    <w:uiPriority w:val="34"/>
    <w:pPr>
      <w:ind w:left="720"/>
      <w:contextualSpacing/>
    </w:pPr>
    <w:rPr/>
  </w:style>
  <w:style w:type="character" w:customStyle="1" w:styleId="style4106">
    <w:name w:val="Paragraphe de liste Car"/>
    <w:next w:val="style4106"/>
    <w:link w:val="style179"/>
    <w:qFormat/>
    <w:uiPriority w:val="34"/>
    <w:rPr>
      <w:rFonts w:ascii="Times New Roman" w:cs="Times New Roman" w:eastAsia="Times New Roman" w:hAnsi="Times New Roman"/>
      <w:sz w:val="24"/>
      <w:szCs w:val="24"/>
      <w:lang w:eastAsia="fr-FR"/>
    </w:rPr>
  </w:style>
  <w:style w:type="paragraph" w:styleId="style153">
    <w:name w:val="Balloon Text"/>
    <w:basedOn w:val="style0"/>
    <w:next w:val="style153"/>
    <w:link w:val="style4107"/>
    <w:uiPriority w:val="99"/>
    <w:pPr/>
    <w:rPr>
      <w:rFonts w:ascii="Tahoma" w:hAnsi="Tahoma"/>
      <w:sz w:val="16"/>
      <w:szCs w:val="16"/>
    </w:rPr>
  </w:style>
  <w:style w:type="character" w:customStyle="1" w:styleId="style4107">
    <w:name w:val="Texte de bulles Car"/>
    <w:basedOn w:val="style65"/>
    <w:next w:val="style4107"/>
    <w:link w:val="style153"/>
    <w:uiPriority w:val="99"/>
    <w:rPr>
      <w:rFonts w:ascii="Tahoma" w:cs="Times New Roman" w:eastAsia="Times New Roman" w:hAnsi="Tahoma"/>
      <w:sz w:val="16"/>
      <w:szCs w:val="16"/>
      <w:lang w:eastAsia="fr-FR"/>
    </w:rPr>
  </w:style>
  <w:style w:type="character" w:styleId="style39">
    <w:name w:val="annotation reference"/>
    <w:next w:val="style39"/>
    <w:uiPriority w:val="99"/>
    <w:rPr>
      <w:sz w:val="16"/>
      <w:szCs w:val="16"/>
    </w:rPr>
  </w:style>
  <w:style w:type="paragraph" w:styleId="style30">
    <w:name w:val="annotation text"/>
    <w:basedOn w:val="style0"/>
    <w:next w:val="style30"/>
    <w:link w:val="style4108"/>
    <w:uiPriority w:val="99"/>
    <w:pPr/>
    <w:rPr>
      <w:sz w:val="20"/>
      <w:szCs w:val="20"/>
    </w:rPr>
  </w:style>
  <w:style w:type="character" w:customStyle="1" w:styleId="style4108">
    <w:name w:val="Commentaire Car"/>
    <w:basedOn w:val="style65"/>
    <w:next w:val="style4108"/>
    <w:link w:val="style30"/>
    <w:uiPriority w:val="99"/>
    <w:rPr>
      <w:rFonts w:ascii="Times New Roman" w:cs="Times New Roman" w:eastAsia="Times New Roman" w:hAnsi="Times New Roman"/>
      <w:sz w:val="20"/>
      <w:szCs w:val="20"/>
      <w:lang w:eastAsia="fr-FR"/>
    </w:rPr>
  </w:style>
  <w:style w:type="paragraph" w:styleId="style106">
    <w:name w:val="annotation subject"/>
    <w:basedOn w:val="style30"/>
    <w:next w:val="style30"/>
    <w:link w:val="style4109"/>
    <w:uiPriority w:val="99"/>
    <w:pPr/>
    <w:rPr>
      <w:b/>
      <w:bCs/>
    </w:rPr>
  </w:style>
  <w:style w:type="character" w:customStyle="1" w:styleId="style4109">
    <w:name w:val="Objet du commentaire Car"/>
    <w:basedOn w:val="style4108"/>
    <w:next w:val="style4109"/>
    <w:link w:val="style106"/>
    <w:uiPriority w:val="99"/>
    <w:rPr>
      <w:rFonts w:ascii="Times New Roman" w:cs="Times New Roman" w:eastAsia="Times New Roman" w:hAnsi="Times New Roman"/>
      <w:b/>
      <w:bCs/>
      <w:sz w:val="20"/>
      <w:szCs w:val="20"/>
      <w:lang w:eastAsia="fr-FR"/>
    </w:rPr>
  </w:style>
  <w:style w:type="character" w:customStyle="1" w:styleId="style4110">
    <w:name w:val="st"/>
    <w:next w:val="style4110"/>
  </w:style>
  <w:style w:type="paragraph" w:styleId="style66">
    <w:name w:val="Body Text"/>
    <w:basedOn w:val="style0"/>
    <w:next w:val="style66"/>
    <w:link w:val="style4111"/>
    <w:pPr>
      <w:jc w:val="both"/>
    </w:pPr>
    <w:rPr/>
  </w:style>
  <w:style w:type="character" w:customStyle="1" w:styleId="style4111">
    <w:name w:val="Corps de texte Car"/>
    <w:basedOn w:val="style65"/>
    <w:next w:val="style4111"/>
    <w:link w:val="style66"/>
    <w:rPr>
      <w:rFonts w:ascii="Times New Roman" w:cs="Times New Roman" w:eastAsia="Times New Roman" w:hAnsi="Times New Roman"/>
      <w:sz w:val="24"/>
      <w:szCs w:val="24"/>
      <w:lang w:eastAsia="fr-FR"/>
    </w:rPr>
  </w:style>
  <w:style w:type="paragraph" w:styleId="style90">
    <w:name w:val="Plain Text"/>
    <w:basedOn w:val="style0"/>
    <w:next w:val="style90"/>
    <w:link w:val="style4112"/>
    <w:pPr/>
    <w:rPr>
      <w:rFonts w:ascii="Courier New" w:hAnsi="Courier New"/>
      <w:color w:val="000000"/>
      <w:sz w:val="20"/>
      <w:szCs w:val="20"/>
    </w:rPr>
  </w:style>
  <w:style w:type="character" w:customStyle="1" w:styleId="style4112">
    <w:name w:val="Texte brut Car"/>
    <w:basedOn w:val="style65"/>
    <w:next w:val="style4112"/>
    <w:link w:val="style90"/>
    <w:rPr>
      <w:rFonts w:ascii="Courier New" w:cs="Times New Roman" w:eastAsia="Times New Roman" w:hAnsi="Courier New"/>
      <w:color w:val="000000"/>
      <w:sz w:val="20"/>
      <w:szCs w:val="20"/>
      <w:lang w:eastAsia="fr-FR"/>
    </w:rPr>
  </w:style>
  <w:style w:type="paragraph" w:styleId="style31">
    <w:name w:val="header"/>
    <w:basedOn w:val="style0"/>
    <w:next w:val="style31"/>
    <w:link w:val="style4113"/>
    <w:uiPriority w:val="99"/>
    <w:pPr>
      <w:tabs>
        <w:tab w:val="center" w:leader="none" w:pos="4536"/>
        <w:tab w:val="right" w:leader="none" w:pos="9072"/>
      </w:tabs>
    </w:pPr>
    <w:rPr/>
  </w:style>
  <w:style w:type="character" w:customStyle="1" w:styleId="style4113">
    <w:name w:val="En-tête Car"/>
    <w:basedOn w:val="style65"/>
    <w:next w:val="style4113"/>
    <w:link w:val="style31"/>
    <w:uiPriority w:val="99"/>
    <w:rPr>
      <w:rFonts w:ascii="Times New Roman" w:cs="Times New Roman" w:eastAsia="Times New Roman" w:hAnsi="Times New Roman"/>
      <w:sz w:val="24"/>
      <w:szCs w:val="24"/>
      <w:lang w:eastAsia="fr-FR"/>
    </w:rPr>
  </w:style>
  <w:style w:type="paragraph" w:styleId="style32">
    <w:name w:val="footer"/>
    <w:basedOn w:val="style0"/>
    <w:next w:val="style32"/>
    <w:link w:val="style4114"/>
    <w:uiPriority w:val="99"/>
    <w:pPr>
      <w:tabs>
        <w:tab w:val="center" w:leader="none" w:pos="4536"/>
        <w:tab w:val="right" w:leader="none" w:pos="9072"/>
      </w:tabs>
    </w:pPr>
    <w:rPr/>
  </w:style>
  <w:style w:type="character" w:customStyle="1" w:styleId="style4114">
    <w:name w:val="Pied de page Car"/>
    <w:basedOn w:val="style65"/>
    <w:next w:val="style4114"/>
    <w:link w:val="style32"/>
    <w:uiPriority w:val="99"/>
    <w:rPr>
      <w:rFonts w:ascii="Times New Roman" w:cs="Times New Roman" w:eastAsia="Times New Roman" w:hAnsi="Times New Roman"/>
      <w:sz w:val="24"/>
      <w:szCs w:val="24"/>
      <w:lang w:eastAsia="fr-FR"/>
    </w:rPr>
  </w:style>
  <w:style w:type="paragraph" w:customStyle="1" w:styleId="style4115">
    <w:name w:val="Default"/>
    <w:next w:val="style4115"/>
    <w:pPr>
      <w:autoSpaceDE w:val="false"/>
      <w:autoSpaceDN w:val="false"/>
      <w:adjustRightInd w:val="false"/>
      <w:spacing w:after="0" w:lineRule="auto" w:line="240"/>
    </w:pPr>
    <w:rPr>
      <w:rFonts w:ascii="Century Gothic" w:cs="Century Gothic" w:eastAsia="Calibri" w:hAnsi="Century Gothic"/>
      <w:color w:val="000000"/>
      <w:sz w:val="24"/>
      <w:szCs w:val="24"/>
    </w:rPr>
  </w:style>
  <w:style w:type="paragraph" w:styleId="style29">
    <w:name w:val="footnote text"/>
    <w:basedOn w:val="style0"/>
    <w:next w:val="style29"/>
    <w:link w:val="style4116"/>
    <w:qFormat/>
    <w:pPr/>
    <w:rPr>
      <w:sz w:val="20"/>
      <w:szCs w:val="20"/>
    </w:rPr>
  </w:style>
  <w:style w:type="character" w:customStyle="1" w:styleId="style4116">
    <w:name w:val="Note de bas de page Car"/>
    <w:basedOn w:val="style65"/>
    <w:next w:val="style4116"/>
    <w:link w:val="style29"/>
    <w:rPr>
      <w:rFonts w:ascii="Times New Roman" w:cs="Times New Roman" w:eastAsia="Times New Roman" w:hAnsi="Times New Roman"/>
      <w:sz w:val="20"/>
      <w:szCs w:val="20"/>
      <w:lang w:eastAsia="fr-FR"/>
    </w:rPr>
  </w:style>
  <w:style w:type="character" w:styleId="style38">
    <w:name w:val="footnote reference"/>
    <w:next w:val="style38"/>
    <w:rPr>
      <w:vertAlign w:val="superscript"/>
    </w:rPr>
  </w:style>
  <w:style w:type="paragraph" w:styleId="style266">
    <w:name w:val="TOC Heading"/>
    <w:basedOn w:val="style1"/>
    <w:next w:val="style0"/>
    <w:qFormat/>
    <w:uiPriority w:val="39"/>
    <w:pPr>
      <w:keepLines/>
      <w:numPr>
        <w:ilvl w:val="0"/>
        <w:numId w:val="0"/>
      </w:numPr>
      <w:spacing w:after="0" w:lineRule="auto" w:line="259"/>
      <w:outlineLvl w:val="9"/>
    </w:pPr>
    <w:rPr>
      <w:rFonts w:ascii="Calibri Light" w:cs="宋体" w:eastAsia="宋体" w:hAnsi="Calibri Light"/>
      <w:b w:val="false"/>
      <w:bCs w:val="false"/>
      <w:smallCaps w:val="false"/>
      <w:color w:val="2e74b5"/>
      <w:kern w:val="0"/>
      <w:u w:val="none"/>
    </w:rPr>
  </w:style>
  <w:style w:type="paragraph" w:styleId="style19">
    <w:name w:val="toc 1"/>
    <w:basedOn w:val="style0"/>
    <w:next w:val="style0"/>
    <w:uiPriority w:val="39"/>
    <w:pPr>
      <w:tabs>
        <w:tab w:val="right" w:leader="dot" w:pos="9642"/>
      </w:tabs>
    </w:pPr>
    <w:rPr/>
  </w:style>
  <w:style w:type="paragraph" w:styleId="style20">
    <w:name w:val="toc 2"/>
    <w:basedOn w:val="style0"/>
    <w:next w:val="style0"/>
    <w:uiPriority w:val="39"/>
    <w:pPr>
      <w:spacing w:after="100"/>
      <w:ind w:left="240"/>
    </w:pPr>
    <w:rPr/>
  </w:style>
  <w:style w:type="paragraph" w:styleId="style21">
    <w:name w:val="toc 3"/>
    <w:basedOn w:val="style0"/>
    <w:next w:val="style0"/>
    <w:uiPriority w:val="39"/>
    <w:pPr>
      <w:spacing w:after="100"/>
      <w:ind w:left="480"/>
    </w:pPr>
    <w:rPr/>
  </w:style>
  <w:style w:type="character" w:styleId="style85">
    <w:name w:val="Hyperlink"/>
    <w:basedOn w:val="style65"/>
    <w:next w:val="style85"/>
    <w:uiPriority w:val="99"/>
    <w:rPr>
      <w:color w:val="0563c1"/>
      <w:u w:val="single"/>
    </w:rPr>
  </w:style>
  <w:style w:type="paragraph" w:styleId="style34">
    <w:name w:val="caption"/>
    <w:basedOn w:val="style0"/>
    <w:next w:val="style0"/>
    <w:qFormat/>
    <w:uiPriority w:val="35"/>
    <w:pPr>
      <w:spacing w:after="200"/>
    </w:pPr>
    <w:rPr>
      <w:b/>
      <w:bCs/>
      <w:color w:val="5b9bd5"/>
      <w:sz w:val="18"/>
      <w:szCs w:val="18"/>
    </w:rPr>
  </w:style>
  <w:style w:type="paragraph" w:styleId="style80">
    <w:name w:val="Body Text 2"/>
    <w:basedOn w:val="style0"/>
    <w:next w:val="style80"/>
    <w:link w:val="style4117"/>
    <w:pPr>
      <w:jc w:val="both"/>
    </w:pPr>
    <w:rPr/>
  </w:style>
  <w:style w:type="character" w:customStyle="1" w:styleId="style4117">
    <w:name w:val="Corps de texte 2 Car"/>
    <w:basedOn w:val="style65"/>
    <w:next w:val="style4117"/>
    <w:link w:val="style80"/>
    <w:rPr>
      <w:rFonts w:ascii="Times New Roman" w:cs="Times New Roman" w:eastAsia="Times New Roman" w:hAnsi="Times New Roman"/>
      <w:sz w:val="24"/>
      <w:szCs w:val="24"/>
      <w:lang w:eastAsia="fr-FR"/>
    </w:rPr>
  </w:style>
  <w:style w:type="paragraph" w:styleId="style22">
    <w:name w:val="toc 4"/>
    <w:basedOn w:val="style0"/>
    <w:next w:val="style0"/>
    <w:uiPriority w:val="39"/>
    <w:pPr>
      <w:spacing w:lineRule="auto" w:line="276"/>
      <w:ind w:left="660"/>
    </w:pPr>
    <w:rPr>
      <w:rFonts w:ascii="Calibri" w:cs="Calibri" w:hAnsi="Calibri"/>
      <w:sz w:val="18"/>
      <w:szCs w:val="18"/>
    </w:rPr>
  </w:style>
  <w:style w:type="paragraph" w:styleId="style23">
    <w:name w:val="toc 5"/>
    <w:basedOn w:val="style0"/>
    <w:next w:val="style0"/>
    <w:uiPriority w:val="39"/>
    <w:pPr>
      <w:spacing w:lineRule="auto" w:line="276"/>
      <w:ind w:left="880"/>
    </w:pPr>
    <w:rPr>
      <w:rFonts w:ascii="Calibri" w:cs="Calibri" w:hAnsi="Calibri"/>
      <w:sz w:val="18"/>
      <w:szCs w:val="18"/>
    </w:rPr>
  </w:style>
  <w:style w:type="paragraph" w:styleId="style24">
    <w:name w:val="toc 6"/>
    <w:basedOn w:val="style0"/>
    <w:next w:val="style0"/>
    <w:uiPriority w:val="39"/>
    <w:pPr>
      <w:spacing w:lineRule="auto" w:line="276"/>
      <w:ind w:left="1100"/>
    </w:pPr>
    <w:rPr>
      <w:rFonts w:ascii="Calibri" w:cs="Calibri" w:hAnsi="Calibri"/>
      <w:sz w:val="18"/>
      <w:szCs w:val="18"/>
    </w:rPr>
  </w:style>
  <w:style w:type="paragraph" w:styleId="style25">
    <w:name w:val="toc 7"/>
    <w:basedOn w:val="style0"/>
    <w:next w:val="style0"/>
    <w:uiPriority w:val="39"/>
    <w:pPr>
      <w:spacing w:lineRule="auto" w:line="276"/>
      <w:ind w:left="1320"/>
    </w:pPr>
    <w:rPr>
      <w:rFonts w:ascii="Calibri" w:cs="Calibri" w:hAnsi="Calibri"/>
      <w:sz w:val="18"/>
      <w:szCs w:val="18"/>
    </w:rPr>
  </w:style>
  <w:style w:type="paragraph" w:styleId="style26">
    <w:name w:val="toc 8"/>
    <w:basedOn w:val="style0"/>
    <w:next w:val="style0"/>
    <w:uiPriority w:val="39"/>
    <w:pPr>
      <w:spacing w:lineRule="auto" w:line="276"/>
      <w:ind w:left="1540"/>
    </w:pPr>
    <w:rPr>
      <w:rFonts w:ascii="Calibri" w:cs="Calibri" w:hAnsi="Calibri"/>
      <w:sz w:val="18"/>
      <w:szCs w:val="18"/>
    </w:rPr>
  </w:style>
  <w:style w:type="paragraph" w:styleId="style27">
    <w:name w:val="toc 9"/>
    <w:basedOn w:val="style0"/>
    <w:next w:val="style0"/>
    <w:uiPriority w:val="39"/>
    <w:pPr>
      <w:spacing w:lineRule="auto" w:line="276"/>
      <w:ind w:left="1760"/>
    </w:pPr>
    <w:rPr>
      <w:rFonts w:ascii="Calibri" w:cs="Calibri" w:hAnsi="Calibri"/>
      <w:sz w:val="18"/>
      <w:szCs w:val="18"/>
    </w:rPr>
  </w:style>
  <w:style w:type="paragraph" w:customStyle="1" w:styleId="style4118">
    <w:name w:val="font5"/>
    <w:basedOn w:val="style0"/>
    <w:next w:val="style4118"/>
    <w:pPr>
      <w:spacing w:before="100" w:beforeAutospacing="true" w:after="100" w:afterAutospacing="true"/>
    </w:pPr>
    <w:rPr>
      <w:rFonts w:ascii="Century Gothic" w:hAnsi="Century Gothic"/>
      <w:b/>
      <w:bCs/>
      <w:sz w:val="20"/>
      <w:szCs w:val="20"/>
    </w:rPr>
  </w:style>
  <w:style w:type="paragraph" w:customStyle="1" w:styleId="style4119">
    <w:name w:val="font6"/>
    <w:basedOn w:val="style0"/>
    <w:next w:val="style4119"/>
    <w:pPr>
      <w:spacing w:before="100" w:beforeAutospacing="true" w:after="100" w:afterAutospacing="true"/>
    </w:pPr>
    <w:rPr>
      <w:rFonts w:ascii="Century Gothic" w:hAnsi="Century Gothic"/>
      <w:b/>
      <w:bCs/>
      <w:color w:val="000000"/>
      <w:sz w:val="20"/>
      <w:szCs w:val="20"/>
    </w:rPr>
  </w:style>
  <w:style w:type="paragraph" w:customStyle="1" w:styleId="style4120">
    <w:name w:val="xl65"/>
    <w:basedOn w:val="style0"/>
    <w:next w:val="style4120"/>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21">
    <w:name w:val="xl66"/>
    <w:basedOn w:val="style0"/>
    <w:next w:val="style4121"/>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22">
    <w:name w:val="xl67"/>
    <w:basedOn w:val="style0"/>
    <w:next w:val="style4122"/>
    <w:pPr>
      <w:spacing w:before="100" w:beforeAutospacing="true" w:after="100" w:afterAutospacing="true"/>
      <w:textAlignment w:val="center"/>
    </w:pPr>
    <w:rPr/>
  </w:style>
  <w:style w:type="paragraph" w:customStyle="1" w:styleId="style4123">
    <w:name w:val="xl68"/>
    <w:basedOn w:val="style0"/>
    <w:next w:val="style4123"/>
    <w:pPr>
      <w:spacing w:before="100" w:beforeAutospacing="true" w:after="100" w:afterAutospacing="true"/>
      <w:jc w:val="center"/>
      <w:textAlignment w:val="center"/>
    </w:pPr>
    <w:rPr/>
  </w:style>
  <w:style w:type="paragraph" w:customStyle="1" w:styleId="style4124">
    <w:name w:val="xl69"/>
    <w:basedOn w:val="style0"/>
    <w:next w:val="style4124"/>
    <w:pPr>
      <w:shd w:val="clear" w:color="000000" w:fill="ffffff"/>
      <w:spacing w:before="100" w:beforeAutospacing="true" w:after="100" w:afterAutospacing="true"/>
      <w:textAlignment w:val="center"/>
    </w:pPr>
    <w:rPr/>
  </w:style>
  <w:style w:type="paragraph" w:customStyle="1" w:styleId="style4125">
    <w:name w:val="xl70"/>
    <w:basedOn w:val="style0"/>
    <w:next w:val="style4125"/>
    <w:pPr>
      <w:spacing w:before="100" w:beforeAutospacing="true" w:after="100" w:afterAutospacing="true"/>
      <w:textAlignment w:val="center"/>
    </w:pPr>
    <w:rPr>
      <w:b/>
      <w:bCs/>
      <w:color w:val="ff0000"/>
    </w:rPr>
  </w:style>
  <w:style w:type="paragraph" w:customStyle="1" w:styleId="style4126">
    <w:name w:val="xl71"/>
    <w:basedOn w:val="style0"/>
    <w:next w:val="style4126"/>
    <w:pPr>
      <w:spacing w:before="100" w:beforeAutospacing="true" w:after="100" w:afterAutospacing="true"/>
      <w:textAlignment w:val="center"/>
    </w:pPr>
    <w:rPr>
      <w:i/>
      <w:iCs/>
    </w:rPr>
  </w:style>
  <w:style w:type="paragraph" w:customStyle="1" w:styleId="style4127">
    <w:name w:val="xl72"/>
    <w:basedOn w:val="style0"/>
    <w:next w:val="style412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28">
    <w:name w:val="xl73"/>
    <w:basedOn w:val="style0"/>
    <w:next w:val="style4128"/>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29">
    <w:name w:val="xl74"/>
    <w:basedOn w:val="style0"/>
    <w:next w:val="style4129"/>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30">
    <w:name w:val="xl75"/>
    <w:basedOn w:val="style0"/>
    <w:next w:val="style4130"/>
    <w:pPr>
      <w:pBdr>
        <w:left w:val="single" w:sz="4" w:space="0" w:color="auto"/>
        <w:right w:val="single" w:sz="8"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31">
    <w:name w:val="xl76"/>
    <w:basedOn w:val="style0"/>
    <w:next w:val="style4131"/>
    <w:pPr>
      <w:pBdr>
        <w:left w:val="single" w:sz="8"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32">
    <w:name w:val="xl77"/>
    <w:basedOn w:val="style0"/>
    <w:next w:val="style4132"/>
    <w:pPr>
      <w:pBdr>
        <w:left w:val="single" w:sz="4"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33">
    <w:name w:val="xl78"/>
    <w:basedOn w:val="style0"/>
    <w:next w:val="style4133"/>
    <w:pPr>
      <w:pBdr>
        <w:left w:val="single" w:sz="4"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34">
    <w:name w:val="xl79"/>
    <w:basedOn w:val="style0"/>
    <w:next w:val="style4134"/>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35">
    <w:name w:val="xl80"/>
    <w:basedOn w:val="style0"/>
    <w:next w:val="style4135"/>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36">
    <w:name w:val="xl81"/>
    <w:basedOn w:val="style0"/>
    <w:next w:val="style4136"/>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37">
    <w:name w:val="xl82"/>
    <w:basedOn w:val="style0"/>
    <w:next w:val="style413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38">
    <w:name w:val="xl83"/>
    <w:basedOn w:val="style0"/>
    <w:next w:val="style4138"/>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39">
    <w:name w:val="xl84"/>
    <w:basedOn w:val="style0"/>
    <w:next w:val="style4139"/>
    <w:pPr>
      <w:pBdr>
        <w:left w:val="single" w:sz="4" w:space="0" w:color="auto"/>
        <w:right w:val="single" w:sz="4" w:space="0" w:color="auto"/>
        <w:top w:val="single" w:sz="4" w:space="0" w:color="auto"/>
        <w:bottom w:val="single" w:sz="4" w:space="0" w:color="auto"/>
      </w:pBdr>
      <w:shd w:val="clear" w:color="000000" w:fill="b8cce4"/>
      <w:spacing w:before="100" w:beforeAutospacing="true" w:after="100" w:afterAutospacing="true"/>
      <w:textAlignment w:val="center"/>
    </w:pPr>
    <w:rPr>
      <w:rFonts w:ascii="Century Gothic" w:hAnsi="Century Gothic"/>
      <w:b/>
      <w:bCs/>
      <w:color w:val="000000"/>
    </w:rPr>
  </w:style>
  <w:style w:type="paragraph" w:customStyle="1" w:styleId="style4140">
    <w:name w:val="xl85"/>
    <w:basedOn w:val="style0"/>
    <w:next w:val="style4140"/>
    <w:pPr>
      <w:pBdr>
        <w:left w:val="single" w:sz="4" w:space="0" w:color="auto"/>
        <w:right w:val="single" w:sz="4" w:space="0" w:color="auto"/>
        <w:top w:val="single" w:sz="4" w:space="0" w:color="auto"/>
        <w:bottom w:val="single" w:sz="4" w:space="0" w:color="auto"/>
      </w:pBdr>
      <w:shd w:val="clear" w:color="000000" w:fill="b8cce4"/>
      <w:spacing w:before="100" w:beforeAutospacing="true" w:after="100" w:afterAutospacing="true"/>
      <w:textAlignment w:val="center"/>
    </w:pPr>
    <w:rPr>
      <w:rFonts w:ascii="Century Gothic" w:hAnsi="Century Gothic"/>
      <w:b/>
      <w:bCs/>
      <w:color w:val="000000"/>
    </w:rPr>
  </w:style>
  <w:style w:type="paragraph" w:customStyle="1" w:styleId="style4141">
    <w:name w:val="xl86"/>
    <w:basedOn w:val="style0"/>
    <w:next w:val="style4141"/>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i/>
      <w:iCs/>
    </w:rPr>
  </w:style>
  <w:style w:type="paragraph" w:customStyle="1" w:styleId="style4142">
    <w:name w:val="xl87"/>
    <w:basedOn w:val="style0"/>
    <w:next w:val="style4142"/>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43">
    <w:name w:val="xl88"/>
    <w:basedOn w:val="style0"/>
    <w:next w:val="style4143"/>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44">
    <w:name w:val="xl89"/>
    <w:basedOn w:val="style0"/>
    <w:next w:val="style4144"/>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45">
    <w:name w:val="xl90"/>
    <w:basedOn w:val="style0"/>
    <w:next w:val="style4145"/>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46">
    <w:name w:val="xl91"/>
    <w:basedOn w:val="style0"/>
    <w:next w:val="style4146"/>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i/>
      <w:iCs/>
    </w:rPr>
  </w:style>
  <w:style w:type="paragraph" w:customStyle="1" w:styleId="style4147">
    <w:name w:val="xl92"/>
    <w:basedOn w:val="style0"/>
    <w:next w:val="style414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48">
    <w:name w:val="xl93"/>
    <w:basedOn w:val="style0"/>
    <w:next w:val="style4148"/>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49">
    <w:name w:val="xl94"/>
    <w:basedOn w:val="style0"/>
    <w:next w:val="style414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50">
    <w:name w:val="xl95"/>
    <w:basedOn w:val="style0"/>
    <w:next w:val="style4150"/>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51">
    <w:name w:val="xl96"/>
    <w:basedOn w:val="style0"/>
    <w:next w:val="style4151"/>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52">
    <w:name w:val="xl97"/>
    <w:basedOn w:val="style0"/>
    <w:next w:val="style4152"/>
    <w:pPr>
      <w:pBdr>
        <w:left w:val="single" w:sz="8" w:space="0" w:color="auto"/>
        <w:right w:val="single" w:sz="4" w:space="0" w:color="auto"/>
        <w:top w:val="single" w:sz="4" w:space="0" w:color="auto"/>
        <w:bottom w:val="single" w:sz="4" w:space="0" w:color="auto"/>
      </w:pBdr>
      <w:shd w:val="clear" w:color="000000" w:fill="d9d9d9"/>
      <w:spacing w:before="100" w:beforeAutospacing="true" w:after="100" w:afterAutospacing="true"/>
      <w:textAlignment w:val="center"/>
    </w:pPr>
    <w:rPr>
      <w:rFonts w:ascii="Century Gothic" w:hAnsi="Century Gothic"/>
      <w:b/>
      <w:bCs/>
      <w:i/>
      <w:iCs/>
      <w:color w:val="000000"/>
    </w:rPr>
  </w:style>
  <w:style w:type="paragraph" w:customStyle="1" w:styleId="style4153">
    <w:name w:val="xl98"/>
    <w:basedOn w:val="style0"/>
    <w:next w:val="style4153"/>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54">
    <w:name w:val="xl99"/>
    <w:basedOn w:val="style0"/>
    <w:next w:val="style4154"/>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55">
    <w:name w:val="xl100"/>
    <w:basedOn w:val="style0"/>
    <w:next w:val="style4155"/>
    <w:pPr>
      <w:pBdr>
        <w:left w:val="single" w:sz="8" w:space="0" w:color="auto"/>
        <w:right w:val="single" w:sz="4" w:space="0" w:color="auto"/>
        <w:top w:val="single" w:sz="4" w:space="0" w:color="auto"/>
        <w:bottom w:val="single" w:sz="4" w:space="0" w:color="auto"/>
      </w:pBdr>
      <w:shd w:val="clear" w:color="000000" w:fill="ffff00"/>
      <w:spacing w:before="100" w:beforeAutospacing="true" w:after="100" w:afterAutospacing="true"/>
      <w:textAlignment w:val="center"/>
    </w:pPr>
    <w:rPr>
      <w:rFonts w:ascii="Century Gothic" w:hAnsi="Century Gothic"/>
      <w:b/>
      <w:bCs/>
      <w:i/>
      <w:iCs/>
      <w:color w:val="000000"/>
    </w:rPr>
  </w:style>
  <w:style w:type="paragraph" w:customStyle="1" w:styleId="style4156">
    <w:name w:val="xl101"/>
    <w:basedOn w:val="style0"/>
    <w:next w:val="style4156"/>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i/>
      <w:iCs/>
      <w:color w:val="000000"/>
    </w:rPr>
  </w:style>
  <w:style w:type="paragraph" w:customStyle="1" w:styleId="style4157">
    <w:name w:val="xl102"/>
    <w:basedOn w:val="style0"/>
    <w:next w:val="style4157"/>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i/>
      <w:iCs/>
      <w:color w:val="000000"/>
    </w:rPr>
  </w:style>
  <w:style w:type="paragraph" w:customStyle="1" w:styleId="style4158">
    <w:name w:val="xl103"/>
    <w:basedOn w:val="style0"/>
    <w:next w:val="style4158"/>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59">
    <w:name w:val="xl104"/>
    <w:basedOn w:val="style0"/>
    <w:next w:val="style4159"/>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color w:val="000000"/>
    </w:rPr>
  </w:style>
  <w:style w:type="paragraph" w:customStyle="1" w:styleId="style4160">
    <w:name w:val="xl105"/>
    <w:basedOn w:val="style0"/>
    <w:next w:val="style4160"/>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61">
    <w:name w:val="xl106"/>
    <w:basedOn w:val="style0"/>
    <w:next w:val="style4161"/>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62">
    <w:name w:val="xl107"/>
    <w:basedOn w:val="style0"/>
    <w:next w:val="style4162"/>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63">
    <w:name w:val="xl108"/>
    <w:basedOn w:val="style0"/>
    <w:next w:val="style4163"/>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64">
    <w:name w:val="xl109"/>
    <w:basedOn w:val="style0"/>
    <w:next w:val="style4164"/>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65">
    <w:name w:val="xl110"/>
    <w:basedOn w:val="style0"/>
    <w:next w:val="style4165"/>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66">
    <w:name w:val="xl111"/>
    <w:basedOn w:val="style0"/>
    <w:next w:val="style4166"/>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67">
    <w:name w:val="xl112"/>
    <w:basedOn w:val="style0"/>
    <w:next w:val="style4167"/>
    <w:pPr>
      <w:pBdr>
        <w:left w:val="single" w:sz="4" w:space="0" w:color="auto"/>
        <w:right w:val="single" w:sz="4" w:space="0" w:color="auto"/>
        <w:top w:val="single" w:sz="4" w:space="0" w:color="auto"/>
        <w:bottom w:val="single" w:sz="4" w:space="0" w:color="auto"/>
      </w:pBdr>
      <w:shd w:val="clear" w:color="000000" w:fill="ffffff"/>
      <w:spacing w:before="100" w:beforeAutospacing="true" w:after="100" w:afterAutospacing="true"/>
      <w:jc w:val="center"/>
      <w:textAlignment w:val="center"/>
    </w:pPr>
    <w:rPr>
      <w:rFonts w:ascii="Century Gothic" w:hAnsi="Century Gothic"/>
      <w:color w:val="000000"/>
    </w:rPr>
  </w:style>
  <w:style w:type="paragraph" w:customStyle="1" w:styleId="style4168">
    <w:name w:val="xl113"/>
    <w:basedOn w:val="style0"/>
    <w:next w:val="style4168"/>
    <w:pPr>
      <w:pBdr>
        <w:left w:val="single" w:sz="4" w:space="0" w:color="auto"/>
        <w:right w:val="single" w:sz="4" w:space="0" w:color="auto"/>
        <w:top w:val="single" w:sz="4" w:space="0" w:color="auto"/>
        <w:bottom w:val="single" w:sz="4" w:space="0" w:color="auto"/>
      </w:pBdr>
      <w:shd w:val="clear" w:color="000000" w:fill="ffffff"/>
      <w:spacing w:before="100" w:beforeAutospacing="true" w:after="100" w:afterAutospacing="true"/>
      <w:jc w:val="center"/>
      <w:textAlignment w:val="center"/>
    </w:pPr>
    <w:rPr>
      <w:rFonts w:ascii="Century Gothic" w:hAnsi="Century Gothic"/>
      <w:color w:val="000000"/>
    </w:rPr>
  </w:style>
  <w:style w:type="paragraph" w:customStyle="1" w:styleId="style4169">
    <w:name w:val="xl114"/>
    <w:basedOn w:val="style0"/>
    <w:next w:val="style4169"/>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70">
    <w:name w:val="xl115"/>
    <w:basedOn w:val="style0"/>
    <w:next w:val="style4170"/>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71">
    <w:name w:val="xl116"/>
    <w:basedOn w:val="style0"/>
    <w:next w:val="style4171"/>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textAlignment w:val="center"/>
    </w:pPr>
    <w:rPr>
      <w:rFonts w:ascii="Century Gothic" w:hAnsi="Century Gothic"/>
      <w:b/>
      <w:bCs/>
    </w:rPr>
  </w:style>
  <w:style w:type="paragraph" w:customStyle="1" w:styleId="style4172">
    <w:name w:val="xl117"/>
    <w:basedOn w:val="style0"/>
    <w:next w:val="style4172"/>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color w:val="000000"/>
    </w:rPr>
  </w:style>
  <w:style w:type="paragraph" w:customStyle="1" w:styleId="style4173">
    <w:name w:val="xl118"/>
    <w:basedOn w:val="style0"/>
    <w:next w:val="style4173"/>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74">
    <w:name w:val="xl119"/>
    <w:basedOn w:val="style0"/>
    <w:next w:val="style4174"/>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75">
    <w:name w:val="xl120"/>
    <w:basedOn w:val="style0"/>
    <w:next w:val="style4175"/>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76">
    <w:name w:val="xl121"/>
    <w:basedOn w:val="style0"/>
    <w:next w:val="style4176"/>
    <w:pPr>
      <w:pBdr>
        <w:left w:val="single" w:sz="4" w:space="0" w:color="auto"/>
        <w:right w:val="single" w:sz="8"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77">
    <w:name w:val="xl122"/>
    <w:basedOn w:val="style0"/>
    <w:next w:val="style4177"/>
    <w:pPr>
      <w:pBdr>
        <w:left w:val="single" w:sz="8" w:space="0" w:color="auto"/>
        <w:right w:val="single" w:sz="4" w:space="0" w:color="auto"/>
        <w:top w:val="single" w:sz="4" w:space="0" w:color="auto"/>
        <w:bottom w:val="single" w:sz="4" w:space="0" w:color="auto"/>
      </w:pBdr>
      <w:shd w:val="clear" w:color="000000" w:fill="ffffff"/>
      <w:spacing w:before="100" w:beforeAutospacing="true" w:after="100" w:afterAutospacing="true"/>
      <w:textAlignment w:val="center"/>
    </w:pPr>
    <w:rPr>
      <w:rFonts w:ascii="Century Gothic" w:hAnsi="Century Gothic"/>
    </w:rPr>
  </w:style>
  <w:style w:type="paragraph" w:customStyle="1" w:styleId="style4178">
    <w:name w:val="xl123"/>
    <w:basedOn w:val="style0"/>
    <w:next w:val="style4178"/>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color w:val="000000"/>
    </w:rPr>
  </w:style>
  <w:style w:type="paragraph" w:customStyle="1" w:styleId="style4179">
    <w:name w:val="xl124"/>
    <w:basedOn w:val="style0"/>
    <w:next w:val="style4179"/>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color w:val="000000"/>
    </w:rPr>
  </w:style>
  <w:style w:type="paragraph" w:customStyle="1" w:styleId="style4180">
    <w:name w:val="xl125"/>
    <w:basedOn w:val="style0"/>
    <w:next w:val="style4180"/>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textAlignment w:val="center"/>
    </w:pPr>
    <w:rPr>
      <w:rFonts w:ascii="Century Gothic" w:hAnsi="Century Gothic"/>
      <w:b/>
      <w:bCs/>
      <w:i/>
      <w:iCs/>
      <w:color w:val="000000"/>
    </w:rPr>
  </w:style>
  <w:style w:type="paragraph" w:customStyle="1" w:styleId="style4181">
    <w:name w:val="xl126"/>
    <w:basedOn w:val="style0"/>
    <w:next w:val="style4181"/>
    <w:pPr>
      <w:pBdr>
        <w:left w:val="single" w:sz="8" w:space="0" w:color="auto"/>
        <w:right w:val="single" w:sz="4" w:space="0" w:color="auto"/>
        <w:top w:val="single" w:sz="4" w:space="0" w:color="auto"/>
        <w:bottom w:val="single" w:sz="4" w:space="0" w:color="auto"/>
      </w:pBdr>
      <w:shd w:val="clear" w:color="000000" w:fill="d9d9d9"/>
      <w:spacing w:before="100" w:beforeAutospacing="true" w:after="100" w:afterAutospacing="true"/>
      <w:textAlignment w:val="center"/>
    </w:pPr>
    <w:rPr>
      <w:rFonts w:ascii="Century Gothic" w:hAnsi="Century Gothic"/>
      <w:b/>
      <w:bCs/>
      <w:i/>
      <w:iCs/>
      <w:color w:val="000000"/>
    </w:rPr>
  </w:style>
  <w:style w:type="paragraph" w:customStyle="1" w:styleId="style4182">
    <w:name w:val="xl127"/>
    <w:basedOn w:val="style0"/>
    <w:next w:val="style4182"/>
    <w:pPr>
      <w:pBdr>
        <w:left w:val="single" w:sz="8" w:space="0" w:color="auto"/>
        <w:right w:val="single" w:sz="4" w:space="0" w:color="auto"/>
        <w:top w:val="single" w:sz="4" w:space="0" w:color="auto"/>
        <w:bottom w:val="single" w:sz="4" w:space="0" w:color="auto"/>
      </w:pBdr>
      <w:shd w:val="clear" w:color="000000" w:fill="92d050"/>
      <w:spacing w:before="100" w:beforeAutospacing="true" w:after="100" w:afterAutospacing="true"/>
      <w:textAlignment w:val="center"/>
    </w:pPr>
    <w:rPr>
      <w:rFonts w:ascii="Century Gothic" w:hAnsi="Century Gothic"/>
      <w:b/>
      <w:bCs/>
      <w:color w:val="000000"/>
    </w:rPr>
  </w:style>
  <w:style w:type="paragraph" w:customStyle="1" w:styleId="style4183">
    <w:name w:val="xl128"/>
    <w:basedOn w:val="style0"/>
    <w:next w:val="style4183"/>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color w:val="000000"/>
    </w:rPr>
  </w:style>
  <w:style w:type="paragraph" w:customStyle="1" w:styleId="style4184">
    <w:name w:val="xl129"/>
    <w:basedOn w:val="style0"/>
    <w:next w:val="style4184"/>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color w:val="000000"/>
    </w:rPr>
  </w:style>
  <w:style w:type="paragraph" w:customStyle="1" w:styleId="style4185">
    <w:name w:val="xl130"/>
    <w:basedOn w:val="style0"/>
    <w:next w:val="style4185"/>
    <w:pPr>
      <w:pBdr>
        <w:left w:val="single" w:sz="4" w:space="0" w:color="auto"/>
        <w:right w:val="single" w:sz="8" w:space="0" w:color="auto"/>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rPr>
  </w:style>
  <w:style w:type="paragraph" w:customStyle="1" w:styleId="style4186">
    <w:name w:val="xl131"/>
    <w:basedOn w:val="style0"/>
    <w:next w:val="style4186"/>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i/>
      <w:iCs/>
      <w:color w:val="000000"/>
    </w:rPr>
  </w:style>
  <w:style w:type="paragraph" w:customStyle="1" w:styleId="style4187">
    <w:name w:val="xl132"/>
    <w:basedOn w:val="style0"/>
    <w:next w:val="style4187"/>
    <w:pPr>
      <w:pBdr>
        <w:left w:val="single" w:sz="8" w:space="0" w:color="auto"/>
        <w:right w:val="single" w:sz="4" w:space="0" w:color="auto"/>
        <w:top w:val="single" w:sz="4" w:space="0" w:color="auto"/>
        <w:bottom w:val="single" w:sz="4" w:space="0" w:color="auto"/>
      </w:pBdr>
      <w:shd w:val="clear" w:color="000000" w:fill="ffff00"/>
      <w:spacing w:before="100" w:beforeAutospacing="true" w:after="100" w:afterAutospacing="true"/>
      <w:textAlignment w:val="center"/>
    </w:pPr>
    <w:rPr>
      <w:rFonts w:ascii="Century Gothic" w:hAnsi="Century Gothic"/>
      <w:b/>
      <w:bCs/>
      <w:color w:val="000000"/>
    </w:rPr>
  </w:style>
  <w:style w:type="paragraph" w:customStyle="1" w:styleId="style4188">
    <w:name w:val="xl133"/>
    <w:basedOn w:val="style0"/>
    <w:next w:val="style4188"/>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color w:val="000000"/>
    </w:rPr>
  </w:style>
  <w:style w:type="paragraph" w:customStyle="1" w:styleId="style4189">
    <w:name w:val="xl134"/>
    <w:basedOn w:val="style0"/>
    <w:next w:val="style4189"/>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color w:val="000000"/>
    </w:rPr>
  </w:style>
  <w:style w:type="paragraph" w:customStyle="1" w:styleId="style4190">
    <w:name w:val="xl135"/>
    <w:basedOn w:val="style0"/>
    <w:next w:val="style4190"/>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color w:val="000000"/>
    </w:rPr>
  </w:style>
  <w:style w:type="paragraph" w:customStyle="1" w:styleId="style4191">
    <w:name w:val="xl136"/>
    <w:basedOn w:val="style0"/>
    <w:next w:val="style4191"/>
    <w:pPr>
      <w:pBdr>
        <w:left w:val="single" w:sz="8" w:space="0" w:color="auto"/>
        <w:right w:val="single" w:sz="4" w:space="0" w:color="auto"/>
        <w:top w:val="single" w:sz="4" w:space="0" w:color="auto"/>
        <w:bottom w:val="single" w:sz="4" w:space="0" w:color="auto"/>
      </w:pBdr>
      <w:shd w:val="clear" w:color="000000" w:fill="c4d79b"/>
      <w:spacing w:before="100" w:beforeAutospacing="true" w:after="100" w:afterAutospacing="true"/>
      <w:textAlignment w:val="center"/>
    </w:pPr>
    <w:rPr>
      <w:rFonts w:ascii="Century Gothic" w:hAnsi="Century Gothic"/>
      <w:b/>
      <w:bCs/>
      <w:color w:val="ff0000"/>
    </w:rPr>
  </w:style>
  <w:style w:type="paragraph" w:customStyle="1" w:styleId="style4192">
    <w:name w:val="xl137"/>
    <w:basedOn w:val="style0"/>
    <w:next w:val="style4192"/>
    <w:pPr>
      <w:pBdr>
        <w:left w:val="single" w:sz="4" w:space="0" w:color="auto"/>
        <w:right w:val="single" w:sz="4" w:space="0" w:color="auto"/>
        <w:top w:val="single" w:sz="4" w:space="0" w:color="auto"/>
        <w:bottom w:val="single" w:sz="4" w:space="0" w:color="auto"/>
      </w:pBdr>
      <w:shd w:val="clear" w:color="000000" w:fill="c4d79b"/>
      <w:spacing w:before="100" w:beforeAutospacing="true" w:after="100" w:afterAutospacing="true"/>
      <w:jc w:val="center"/>
      <w:textAlignment w:val="center"/>
    </w:pPr>
    <w:rPr>
      <w:rFonts w:ascii="Century Gothic" w:hAnsi="Century Gothic"/>
      <w:b/>
      <w:bCs/>
      <w:color w:val="000000"/>
    </w:rPr>
  </w:style>
  <w:style w:type="paragraph" w:customStyle="1" w:styleId="style4193">
    <w:name w:val="xl138"/>
    <w:basedOn w:val="style0"/>
    <w:next w:val="style4193"/>
    <w:pPr>
      <w:pBdr>
        <w:left w:val="single" w:sz="4" w:space="0" w:color="auto"/>
        <w:right w:val="single" w:sz="4" w:space="0" w:color="auto"/>
        <w:top w:val="single" w:sz="4" w:space="0" w:color="auto"/>
        <w:bottom w:val="single" w:sz="4" w:space="0" w:color="auto"/>
      </w:pBdr>
      <w:shd w:val="clear" w:color="000000" w:fill="c4d79b"/>
      <w:spacing w:before="100" w:beforeAutospacing="true" w:after="100" w:afterAutospacing="true"/>
      <w:jc w:val="center"/>
      <w:textAlignment w:val="center"/>
    </w:pPr>
    <w:rPr>
      <w:rFonts w:ascii="Century Gothic" w:hAnsi="Century Gothic"/>
      <w:color w:val="000000"/>
    </w:rPr>
  </w:style>
  <w:style w:type="paragraph" w:customStyle="1" w:styleId="style4194">
    <w:name w:val="xl139"/>
    <w:basedOn w:val="style0"/>
    <w:next w:val="style4194"/>
    <w:pPr>
      <w:pBdr>
        <w:left w:val="single" w:sz="4" w:space="0" w:color="auto"/>
        <w:right w:val="single" w:sz="4" w:space="0" w:color="auto"/>
        <w:top w:val="single" w:sz="4" w:space="0" w:color="auto"/>
        <w:bottom w:val="single" w:sz="4" w:space="0" w:color="auto"/>
      </w:pBdr>
      <w:shd w:val="clear" w:color="000000" w:fill="c4d79b"/>
      <w:spacing w:before="100" w:beforeAutospacing="true" w:after="100" w:afterAutospacing="true"/>
      <w:jc w:val="center"/>
      <w:textAlignment w:val="center"/>
    </w:pPr>
    <w:rPr>
      <w:rFonts w:ascii="Century Gothic" w:hAnsi="Century Gothic"/>
      <w:b/>
      <w:bCs/>
      <w:color w:val="ff0000"/>
    </w:rPr>
  </w:style>
  <w:style w:type="paragraph" w:customStyle="1" w:styleId="style4195">
    <w:name w:val="xl140"/>
    <w:basedOn w:val="style0"/>
    <w:next w:val="style4195"/>
    <w:pPr>
      <w:spacing w:before="100" w:beforeAutospacing="true" w:after="100" w:afterAutospacing="true"/>
      <w:jc w:val="center"/>
      <w:textAlignment w:val="center"/>
    </w:pPr>
    <w:rPr>
      <w:rFonts w:ascii="Century Gothic" w:hAnsi="Century Gothic"/>
    </w:rPr>
  </w:style>
  <w:style w:type="paragraph" w:customStyle="1" w:styleId="style4196">
    <w:name w:val="xl141"/>
    <w:basedOn w:val="style0"/>
    <w:next w:val="style4196"/>
    <w:pPr>
      <w:spacing w:before="100" w:beforeAutospacing="true" w:after="100" w:afterAutospacing="true"/>
      <w:textAlignment w:val="center"/>
    </w:pPr>
    <w:rPr>
      <w:rFonts w:ascii="Century Gothic" w:hAnsi="Century Gothic"/>
    </w:rPr>
  </w:style>
  <w:style w:type="paragraph" w:customStyle="1" w:styleId="style4197">
    <w:name w:val="xl142"/>
    <w:basedOn w:val="style0"/>
    <w:next w:val="style4197"/>
    <w:pPr>
      <w:spacing w:before="100" w:beforeAutospacing="true" w:after="100" w:afterAutospacing="true"/>
      <w:jc w:val="center"/>
      <w:textAlignment w:val="center"/>
    </w:pPr>
    <w:rPr>
      <w:rFonts w:ascii="Century Gothic" w:hAnsi="Century Gothic"/>
    </w:rPr>
  </w:style>
  <w:style w:type="paragraph" w:customStyle="1" w:styleId="style4198">
    <w:name w:val="xl143"/>
    <w:basedOn w:val="style0"/>
    <w:next w:val="style4198"/>
    <w:pPr>
      <w:spacing w:before="100" w:beforeAutospacing="true" w:after="100" w:afterAutospacing="true"/>
      <w:jc w:val="center"/>
      <w:textAlignment w:val="center"/>
    </w:pPr>
    <w:rPr>
      <w:rFonts w:ascii="Century Gothic" w:hAnsi="Century Gothic"/>
    </w:rPr>
  </w:style>
  <w:style w:type="paragraph" w:customStyle="1" w:styleId="style4199">
    <w:name w:val="xl144"/>
    <w:basedOn w:val="style0"/>
    <w:next w:val="style4199"/>
    <w:pPr>
      <w:spacing w:before="100" w:beforeAutospacing="true" w:after="100" w:afterAutospacing="true"/>
      <w:jc w:val="center"/>
      <w:textAlignment w:val="center"/>
    </w:pPr>
    <w:rPr>
      <w:rFonts w:ascii="Century Gothic" w:hAnsi="Century Gothic"/>
    </w:rPr>
  </w:style>
  <w:style w:type="paragraph" w:customStyle="1" w:styleId="style4200">
    <w:name w:val="xl145"/>
    <w:basedOn w:val="style0"/>
    <w:next w:val="style4200"/>
    <w:pPr>
      <w:pBdr>
        <w:left w:val="single" w:sz="8" w:space="0" w:color="auto"/>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b/>
      <w:bCs/>
      <w:color w:val="000000"/>
    </w:rPr>
  </w:style>
  <w:style w:type="paragraph" w:customStyle="1" w:styleId="style4201">
    <w:name w:val="xl146"/>
    <w:basedOn w:val="style0"/>
    <w:next w:val="style4201"/>
    <w:pPr>
      <w:pBdr>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b/>
      <w:bCs/>
      <w:color w:val="000000"/>
    </w:rPr>
  </w:style>
  <w:style w:type="paragraph" w:customStyle="1" w:styleId="style4202">
    <w:name w:val="xl147"/>
    <w:basedOn w:val="style0"/>
    <w:next w:val="style4202"/>
    <w:pPr>
      <w:pBdr>
        <w:right w:val="single" w:sz="4" w:space="0" w:color="auto"/>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b/>
      <w:bCs/>
      <w:color w:val="000000"/>
    </w:rPr>
  </w:style>
  <w:style w:type="paragraph" w:customStyle="1" w:styleId="style4203">
    <w:name w:val="xl148"/>
    <w:basedOn w:val="style0"/>
    <w:next w:val="style4203"/>
    <w:pPr>
      <w:pBdr>
        <w:left w:val="single" w:sz="8"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rPr>
  </w:style>
  <w:style w:type="paragraph" w:customStyle="1" w:styleId="style4204">
    <w:name w:val="xl149"/>
    <w:basedOn w:val="style0"/>
    <w:next w:val="style4204"/>
    <w:pPr>
      <w:pBdr>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rPr>
  </w:style>
  <w:style w:type="paragraph" w:customStyle="1" w:styleId="style4205">
    <w:name w:val="xl150"/>
    <w:basedOn w:val="style0"/>
    <w:next w:val="style4205"/>
    <w:pPr>
      <w:pBdr>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rPr>
  </w:style>
  <w:style w:type="paragraph" w:customStyle="1" w:styleId="style4206">
    <w:name w:val="xl151"/>
    <w:basedOn w:val="style0"/>
    <w:next w:val="style4206"/>
    <w:pPr>
      <w:pBdr>
        <w:left w:val="single" w:sz="8"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i/>
      <w:iCs/>
      <w:color w:val="000000"/>
    </w:rPr>
  </w:style>
  <w:style w:type="paragraph" w:customStyle="1" w:styleId="style4207">
    <w:name w:val="xl152"/>
    <w:basedOn w:val="style0"/>
    <w:next w:val="style4207"/>
    <w:pPr>
      <w:pBdr>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i/>
      <w:iCs/>
      <w:color w:val="000000"/>
    </w:rPr>
  </w:style>
  <w:style w:type="paragraph" w:customStyle="1" w:styleId="style4208">
    <w:name w:val="xl153"/>
    <w:basedOn w:val="style0"/>
    <w:next w:val="style4208"/>
    <w:pPr>
      <w:pBdr>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i/>
      <w:iCs/>
      <w:color w:val="000000"/>
    </w:rPr>
  </w:style>
  <w:style w:type="paragraph" w:customStyle="1" w:styleId="style4209">
    <w:name w:val="xl154"/>
    <w:basedOn w:val="style0"/>
    <w:next w:val="style4209"/>
    <w:pPr>
      <w:pBdr>
        <w:lef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210">
    <w:name w:val="xl155"/>
    <w:basedOn w:val="style0"/>
    <w:next w:val="style4210"/>
    <w:pPr>
      <w:pBdr>
        <w:right w:val="single" w:sz="8"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211">
    <w:name w:val="font7"/>
    <w:basedOn w:val="style0"/>
    <w:next w:val="style4211"/>
    <w:pPr>
      <w:spacing w:before="100" w:beforeAutospacing="true" w:after="100" w:afterAutospacing="true"/>
    </w:pPr>
    <w:rPr>
      <w:b/>
      <w:bCs/>
      <w:color w:val="ff0000"/>
    </w:rPr>
  </w:style>
  <w:style w:type="paragraph" w:customStyle="1" w:styleId="style4212">
    <w:name w:val="xl156"/>
    <w:basedOn w:val="style0"/>
    <w:next w:val="style4212"/>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i/>
      <w:iCs/>
    </w:rPr>
  </w:style>
  <w:style w:type="paragraph" w:customStyle="1" w:styleId="style4213">
    <w:name w:val="xl157"/>
    <w:basedOn w:val="style0"/>
    <w:next w:val="style4213"/>
    <w:pPr>
      <w:pBdr>
        <w:left w:val="single" w:sz="8" w:space="0" w:color="auto"/>
        <w:right w:val="single" w:sz="4" w:space="0" w:color="auto"/>
        <w:top w:val="single" w:sz="4" w:space="0" w:color="auto"/>
        <w:bottom w:val="single" w:sz="4" w:space="0" w:color="auto"/>
      </w:pBdr>
      <w:spacing w:before="100" w:beforeAutospacing="true" w:after="100" w:afterAutospacing="true"/>
      <w:jc w:val="both"/>
      <w:textAlignment w:val="center"/>
    </w:pPr>
    <w:rPr>
      <w:b/>
      <w:bCs/>
    </w:rPr>
  </w:style>
  <w:style w:type="paragraph" w:customStyle="1" w:styleId="style4214">
    <w:name w:val="xl158"/>
    <w:basedOn w:val="style0"/>
    <w:next w:val="style4214"/>
    <w:pPr>
      <w:pBdr>
        <w:left w:val="single" w:sz="4" w:space="0" w:color="auto"/>
        <w:right w:val="single" w:sz="8" w:space="0" w:color="auto"/>
        <w:top w:val="single" w:sz="4" w:space="0" w:color="auto"/>
        <w:bottom w:val="single" w:sz="4" w:space="0" w:color="auto"/>
      </w:pBdr>
      <w:shd w:val="clear" w:color="000000" w:fill="d9d9d9"/>
      <w:spacing w:before="100" w:beforeAutospacing="true" w:after="100" w:afterAutospacing="true"/>
      <w:jc w:val="center"/>
      <w:textAlignment w:val="center"/>
    </w:pPr>
    <w:rPr>
      <w:b/>
      <w:bCs/>
      <w:i/>
      <w:iCs/>
      <w:color w:val="000000"/>
    </w:rPr>
  </w:style>
  <w:style w:type="paragraph" w:customStyle="1" w:styleId="style4215">
    <w:name w:val="xl159"/>
    <w:basedOn w:val="style0"/>
    <w:next w:val="style4215"/>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b/>
      <w:bCs/>
    </w:rPr>
  </w:style>
  <w:style w:type="paragraph" w:customStyle="1" w:styleId="style4216">
    <w:name w:val="xl160"/>
    <w:basedOn w:val="style0"/>
    <w:next w:val="style4216"/>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b/>
      <w:bCs/>
      <w:i/>
      <w:iCs/>
      <w:color w:val="000000"/>
    </w:rPr>
  </w:style>
  <w:style w:type="paragraph" w:customStyle="1" w:styleId="style4217">
    <w:name w:val="xl161"/>
    <w:basedOn w:val="style0"/>
    <w:next w:val="style4217"/>
    <w:pPr>
      <w:pBdr>
        <w:left w:val="single" w:sz="4" w:space="0" w:color="auto"/>
        <w:right w:val="single" w:sz="8" w:space="0" w:color="auto"/>
        <w:top w:val="single" w:sz="4" w:space="0" w:color="auto"/>
        <w:bottom w:val="single" w:sz="4" w:space="0" w:color="auto"/>
      </w:pBdr>
      <w:shd w:val="clear" w:color="000000" w:fill="b8cce4"/>
      <w:spacing w:before="100" w:beforeAutospacing="true" w:after="100" w:afterAutospacing="true"/>
      <w:textAlignment w:val="center"/>
    </w:pPr>
    <w:rPr>
      <w:b/>
      <w:bCs/>
      <w:color w:val="000000"/>
    </w:rPr>
  </w:style>
  <w:style w:type="paragraph" w:customStyle="1" w:styleId="style4218">
    <w:name w:val="xl162"/>
    <w:basedOn w:val="style0"/>
    <w:next w:val="style4218"/>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style>
  <w:style w:type="paragraph" w:customStyle="1" w:styleId="style4219">
    <w:name w:val="xl163"/>
    <w:basedOn w:val="style0"/>
    <w:next w:val="style4219"/>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color w:val="000000"/>
    </w:rPr>
  </w:style>
  <w:style w:type="paragraph" w:customStyle="1" w:styleId="style4220">
    <w:name w:val="xl164"/>
    <w:basedOn w:val="style0"/>
    <w:next w:val="style4220"/>
    <w:pPr>
      <w:pBdr>
        <w:left w:val="single" w:sz="8" w:space="0" w:color="auto"/>
        <w:right w:val="single" w:sz="4" w:space="0" w:color="auto"/>
        <w:top w:val="single" w:sz="4" w:space="0" w:color="auto"/>
        <w:bottom w:val="single" w:sz="4" w:space="0" w:color="auto"/>
      </w:pBdr>
      <w:shd w:val="clear" w:color="000000" w:fill="ffffff"/>
      <w:spacing w:before="100" w:beforeAutospacing="true" w:after="100" w:afterAutospacing="true"/>
      <w:textAlignment w:val="center"/>
    </w:pPr>
    <w:rPr/>
  </w:style>
  <w:style w:type="paragraph" w:customStyle="1" w:styleId="style4221">
    <w:name w:val="xl165"/>
    <w:basedOn w:val="style0"/>
    <w:next w:val="style4221"/>
    <w:pPr>
      <w:pBdr>
        <w:left w:val="single" w:sz="8" w:space="0" w:color="auto"/>
        <w:right w:val="single" w:sz="4" w:space="0" w:color="auto"/>
        <w:top w:val="single" w:sz="4" w:space="0" w:color="auto"/>
        <w:bottom w:val="single" w:sz="4" w:space="0" w:color="auto"/>
      </w:pBdr>
      <w:shd w:val="clear" w:color="000000" w:fill="ffffff"/>
      <w:spacing w:before="100" w:beforeAutospacing="true" w:after="100" w:afterAutospacing="true"/>
      <w:textAlignment w:val="center"/>
    </w:pPr>
    <w:rPr/>
  </w:style>
  <w:style w:type="paragraph" w:customStyle="1" w:styleId="style4222">
    <w:name w:val="xl166"/>
    <w:basedOn w:val="style0"/>
    <w:next w:val="style4222"/>
    <w:pPr>
      <w:pBdr>
        <w:left w:val="single" w:sz="4" w:space="0" w:color="auto"/>
        <w:right w:val="single" w:sz="8" w:space="0" w:color="auto"/>
        <w:top w:val="single" w:sz="4" w:space="0" w:color="auto"/>
        <w:bottom w:val="single" w:sz="4" w:space="0" w:color="auto"/>
      </w:pBdr>
      <w:shd w:val="clear" w:color="000000" w:fill="ffff00"/>
      <w:spacing w:before="100" w:beforeAutospacing="true" w:after="100" w:afterAutospacing="true"/>
      <w:jc w:val="center"/>
      <w:textAlignment w:val="center"/>
    </w:pPr>
    <w:rPr>
      <w:b/>
      <w:bCs/>
      <w:i/>
      <w:iCs/>
      <w:color w:val="000000"/>
    </w:rPr>
  </w:style>
  <w:style w:type="paragraph" w:customStyle="1" w:styleId="style4223">
    <w:name w:val="xl167"/>
    <w:basedOn w:val="style0"/>
    <w:next w:val="style4223"/>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sz w:val="22"/>
      <w:szCs w:val="22"/>
    </w:rPr>
  </w:style>
  <w:style w:type="paragraph" w:customStyle="1" w:styleId="style4224">
    <w:name w:val="xl168"/>
    <w:basedOn w:val="style0"/>
    <w:next w:val="style4224"/>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sz w:val="22"/>
      <w:szCs w:val="22"/>
    </w:rPr>
  </w:style>
  <w:style w:type="paragraph" w:customStyle="1" w:styleId="style4225">
    <w:name w:val="xl169"/>
    <w:basedOn w:val="style0"/>
    <w:next w:val="style4225"/>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b/>
      <w:bCs/>
      <w:color w:val="000000"/>
    </w:rPr>
  </w:style>
  <w:style w:type="paragraph" w:customStyle="1" w:styleId="style4226">
    <w:name w:val="xl170"/>
    <w:basedOn w:val="style0"/>
    <w:next w:val="style4226"/>
    <w:pPr>
      <w:pBdr>
        <w:left w:val="single" w:sz="4" w:space="0" w:color="auto"/>
        <w:right w:val="single" w:sz="8" w:space="0" w:color="auto"/>
        <w:top w:val="single" w:sz="4" w:space="0" w:color="auto"/>
        <w:bottom w:val="single" w:sz="4" w:space="0" w:color="auto"/>
      </w:pBdr>
      <w:shd w:val="clear" w:color="000000" w:fill="d9d9d9"/>
      <w:spacing w:before="100" w:beforeAutospacing="true" w:after="100" w:afterAutospacing="true"/>
      <w:jc w:val="center"/>
      <w:textAlignment w:val="center"/>
    </w:pPr>
    <w:rPr>
      <w:color w:val="000000"/>
    </w:rPr>
  </w:style>
  <w:style w:type="paragraph" w:customStyle="1" w:styleId="style4227">
    <w:name w:val="xl171"/>
    <w:basedOn w:val="style0"/>
    <w:next w:val="style4227"/>
    <w:pPr>
      <w:pBdr>
        <w:left w:val="single" w:sz="8" w:space="0" w:color="auto"/>
        <w:right w:val="single" w:sz="4" w:space="0" w:color="auto"/>
        <w:top w:val="single" w:sz="4" w:space="0" w:color="auto"/>
        <w:bottom w:val="single" w:sz="4" w:space="0" w:color="auto"/>
      </w:pBdr>
      <w:spacing w:before="100" w:beforeAutospacing="true" w:after="100" w:afterAutospacing="true"/>
      <w:jc w:val="both"/>
      <w:textAlignment w:val="center"/>
    </w:pPr>
    <w:rPr/>
  </w:style>
  <w:style w:type="paragraph" w:customStyle="1" w:styleId="style4228">
    <w:name w:val="xl172"/>
    <w:basedOn w:val="style0"/>
    <w:next w:val="style4228"/>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i/>
      <w:iCs/>
      <w:color w:val="000000"/>
    </w:rPr>
  </w:style>
  <w:style w:type="paragraph" w:customStyle="1" w:styleId="style4229">
    <w:name w:val="xl173"/>
    <w:basedOn w:val="style0"/>
    <w:next w:val="style4229"/>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b/>
      <w:bCs/>
      <w:color w:val="000000"/>
    </w:rPr>
  </w:style>
  <w:style w:type="paragraph" w:customStyle="1" w:styleId="style4230">
    <w:name w:val="xl174"/>
    <w:basedOn w:val="style0"/>
    <w:next w:val="style4230"/>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b/>
      <w:bCs/>
    </w:rPr>
  </w:style>
  <w:style w:type="paragraph" w:customStyle="1" w:styleId="style4231">
    <w:name w:val="xl175"/>
    <w:basedOn w:val="style0"/>
    <w:next w:val="style4231"/>
    <w:pPr>
      <w:pBdr>
        <w:left w:val="single" w:sz="8" w:space="0" w:color="auto"/>
        <w:right w:val="single" w:sz="4" w:space="0" w:color="auto"/>
        <w:top w:val="single" w:sz="4" w:space="0" w:color="auto"/>
        <w:bottom w:val="single" w:sz="8" w:space="0" w:color="auto"/>
      </w:pBdr>
      <w:shd w:val="clear" w:color="000000" w:fill="92d050"/>
      <w:spacing w:before="100" w:beforeAutospacing="true" w:after="100" w:afterAutospacing="true"/>
      <w:textAlignment w:val="center"/>
    </w:pPr>
    <w:rPr>
      <w:b/>
      <w:bCs/>
    </w:rPr>
  </w:style>
  <w:style w:type="paragraph" w:customStyle="1" w:styleId="style4232">
    <w:name w:val="xl176"/>
    <w:basedOn w:val="style0"/>
    <w:next w:val="style4232"/>
    <w:pPr>
      <w:pBdr>
        <w:left w:val="single" w:sz="4" w:space="0" w:color="auto"/>
        <w:right w:val="single" w:sz="4" w:space="0" w:color="auto"/>
        <w:top w:val="single" w:sz="4" w:space="0" w:color="auto"/>
        <w:bottom w:val="single" w:sz="8" w:space="0" w:color="auto"/>
      </w:pBdr>
      <w:shd w:val="clear" w:color="000000" w:fill="92d050"/>
      <w:spacing w:before="100" w:beforeAutospacing="true" w:after="100" w:afterAutospacing="true"/>
      <w:jc w:val="center"/>
      <w:textAlignment w:val="center"/>
    </w:pPr>
    <w:rPr>
      <w:b/>
      <w:bCs/>
    </w:rPr>
  </w:style>
  <w:style w:type="paragraph" w:customStyle="1" w:styleId="style4233">
    <w:name w:val="xl177"/>
    <w:basedOn w:val="style0"/>
    <w:next w:val="style4233"/>
    <w:pPr>
      <w:pBdr>
        <w:left w:val="single" w:sz="4" w:space="0" w:color="auto"/>
        <w:right w:val="single" w:sz="4" w:space="0" w:color="auto"/>
        <w:top w:val="single" w:sz="4" w:space="0" w:color="auto"/>
        <w:bottom w:val="single" w:sz="8" w:space="0" w:color="auto"/>
      </w:pBdr>
      <w:shd w:val="clear" w:color="000000" w:fill="92d050"/>
      <w:spacing w:before="100" w:beforeAutospacing="true" w:after="100" w:afterAutospacing="true"/>
      <w:jc w:val="center"/>
      <w:textAlignment w:val="center"/>
    </w:pPr>
    <w:rPr>
      <w:b/>
      <w:bCs/>
    </w:rPr>
  </w:style>
  <w:style w:type="paragraph" w:customStyle="1" w:styleId="style4234">
    <w:name w:val="xl178"/>
    <w:basedOn w:val="style0"/>
    <w:next w:val="style4234"/>
    <w:pPr>
      <w:pBdr>
        <w:left w:val="single" w:sz="4" w:space="0" w:color="auto"/>
        <w:right w:val="single" w:sz="4" w:space="0" w:color="auto"/>
        <w:top w:val="single" w:sz="4" w:space="0" w:color="auto"/>
        <w:bottom w:val="single" w:sz="8" w:space="0" w:color="auto"/>
      </w:pBdr>
      <w:shd w:val="clear" w:color="000000" w:fill="92d050"/>
      <w:spacing w:before="100" w:beforeAutospacing="true" w:after="100" w:afterAutospacing="true"/>
      <w:jc w:val="center"/>
      <w:textAlignment w:val="center"/>
    </w:pPr>
    <w:rPr>
      <w:b/>
      <w:bCs/>
    </w:rPr>
  </w:style>
  <w:style w:type="paragraph" w:customStyle="1" w:styleId="style4235">
    <w:name w:val="xl179"/>
    <w:basedOn w:val="style0"/>
    <w:next w:val="style4235"/>
    <w:pPr>
      <w:pBdr>
        <w:left w:val="single" w:sz="4" w:space="0" w:color="auto"/>
        <w:right w:val="single" w:sz="4" w:space="0" w:color="auto"/>
        <w:top w:val="single" w:sz="4" w:space="0" w:color="auto"/>
        <w:bottom w:val="single" w:sz="4" w:space="0" w:color="auto"/>
      </w:pBdr>
      <w:shd w:val="clear" w:color="000000" w:fill="b7dee8"/>
      <w:spacing w:before="100" w:beforeAutospacing="true" w:after="100" w:afterAutospacing="true"/>
      <w:jc w:val="center"/>
      <w:textAlignment w:val="center"/>
    </w:pPr>
    <w:rPr>
      <w:color w:val="000000"/>
    </w:rPr>
  </w:style>
  <w:style w:type="paragraph" w:customStyle="1" w:styleId="style4236">
    <w:name w:val="xl180"/>
    <w:basedOn w:val="style0"/>
    <w:next w:val="style4236"/>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i/>
      <w:iCs/>
    </w:rPr>
  </w:style>
  <w:style w:type="paragraph" w:customStyle="1" w:styleId="style4237">
    <w:name w:val="xl181"/>
    <w:basedOn w:val="style0"/>
    <w:next w:val="style4237"/>
    <w:pPr>
      <w:pBdr>
        <w:left w:val="single" w:sz="4" w:space="0" w:color="auto"/>
        <w:right w:val="single" w:sz="4" w:space="0" w:color="auto"/>
        <w:top w:val="single" w:sz="4" w:space="0" w:color="auto"/>
        <w:bottom w:val="single" w:sz="4" w:space="0" w:color="auto"/>
      </w:pBdr>
      <w:shd w:val="clear" w:color="000000" w:fill="b7dee8"/>
      <w:spacing w:before="100" w:beforeAutospacing="true" w:after="100" w:afterAutospacing="true"/>
      <w:jc w:val="center"/>
      <w:textAlignment w:val="center"/>
    </w:pPr>
    <w:rPr/>
  </w:style>
  <w:style w:type="paragraph" w:customStyle="1" w:styleId="style4238">
    <w:name w:val="xl182"/>
    <w:basedOn w:val="style0"/>
    <w:next w:val="style4238"/>
    <w:pPr>
      <w:pBdr>
        <w:left w:val="single" w:sz="4" w:space="0" w:color="auto"/>
        <w:right w:val="single" w:sz="4" w:space="0" w:color="auto"/>
        <w:top w:val="single" w:sz="4" w:space="0" w:color="auto"/>
        <w:bottom w:val="single" w:sz="4" w:space="0" w:color="auto"/>
      </w:pBdr>
      <w:shd w:val="clear" w:color="000000" w:fill="b7dee8"/>
      <w:spacing w:before="100" w:beforeAutospacing="true" w:after="100" w:afterAutospacing="true"/>
      <w:jc w:val="center"/>
      <w:textAlignment w:val="center"/>
    </w:pPr>
    <w:rPr/>
  </w:style>
  <w:style w:type="paragraph" w:customStyle="1" w:styleId="style4239">
    <w:name w:val="xl183"/>
    <w:basedOn w:val="style0"/>
    <w:next w:val="style4239"/>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style>
  <w:style w:type="paragraph" w:customStyle="1" w:styleId="style4240">
    <w:name w:val="xl184"/>
    <w:basedOn w:val="style0"/>
    <w:next w:val="style4240"/>
    <w:pPr>
      <w:pBdr>
        <w:left w:val="single" w:sz="4" w:space="0" w:color="auto"/>
        <w:right w:val="single" w:sz="8" w:space="0" w:color="auto"/>
        <w:top w:val="single" w:sz="4" w:space="0" w:color="auto"/>
        <w:bottom w:val="single" w:sz="4" w:space="0" w:color="auto"/>
      </w:pBdr>
      <w:shd w:val="clear" w:color="000000" w:fill="ffff00"/>
      <w:spacing w:before="100" w:beforeAutospacing="true" w:after="100" w:afterAutospacing="true"/>
      <w:jc w:val="center"/>
      <w:textAlignment w:val="center"/>
    </w:pPr>
    <w:rPr/>
  </w:style>
  <w:style w:type="paragraph" w:customStyle="1" w:styleId="style4241">
    <w:name w:val="xl185"/>
    <w:basedOn w:val="style0"/>
    <w:next w:val="style4241"/>
    <w:pPr>
      <w:pBdr>
        <w:left w:val="single" w:sz="4" w:space="0" w:color="auto"/>
        <w:top w:val="single" w:sz="8" w:space="0" w:color="auto"/>
        <w:bottom w:val="single" w:sz="4" w:space="0" w:color="auto"/>
      </w:pBdr>
      <w:spacing w:before="100" w:beforeAutospacing="true" w:after="100" w:afterAutospacing="true"/>
      <w:jc w:val="center"/>
      <w:textAlignment w:val="center"/>
    </w:pPr>
    <w:rPr>
      <w:b/>
      <w:bCs/>
    </w:rPr>
  </w:style>
  <w:style w:type="paragraph" w:customStyle="1" w:styleId="style4242">
    <w:name w:val="xl186"/>
    <w:basedOn w:val="style0"/>
    <w:next w:val="style4242"/>
    <w:pPr>
      <w:pBdr>
        <w:right w:val="single" w:sz="8" w:space="0" w:color="auto"/>
        <w:top w:val="single" w:sz="8" w:space="0" w:color="auto"/>
        <w:bottom w:val="single" w:sz="4" w:space="0" w:color="auto"/>
      </w:pBdr>
      <w:spacing w:before="100" w:beforeAutospacing="true" w:after="100" w:afterAutospacing="true"/>
      <w:jc w:val="center"/>
      <w:textAlignment w:val="center"/>
    </w:pPr>
    <w:rPr>
      <w:b/>
      <w:bCs/>
    </w:rPr>
  </w:style>
  <w:style w:type="paragraph" w:customStyle="1" w:styleId="style4243">
    <w:name w:val="xl187"/>
    <w:basedOn w:val="style0"/>
    <w:next w:val="style4243"/>
    <w:pPr>
      <w:pBdr>
        <w:left w:val="single" w:sz="8" w:space="0" w:color="auto"/>
        <w:right w:val="single" w:sz="4" w:space="0" w:color="auto"/>
        <w:top w:val="single" w:sz="4" w:space="0" w:color="auto"/>
        <w:bottom w:val="single" w:sz="4" w:space="0" w:color="auto"/>
      </w:pBdr>
      <w:shd w:val="clear" w:color="000000" w:fill="b8cce4"/>
      <w:spacing w:before="100" w:beforeAutospacing="true" w:after="100" w:afterAutospacing="true"/>
      <w:jc w:val="center"/>
      <w:textAlignment w:val="center"/>
    </w:pPr>
    <w:rPr>
      <w:b/>
      <w:bCs/>
      <w:color w:val="000000"/>
    </w:rPr>
  </w:style>
  <w:style w:type="paragraph" w:customStyle="1" w:styleId="style4244">
    <w:name w:val="xl188"/>
    <w:basedOn w:val="style0"/>
    <w:next w:val="style4244"/>
    <w:pPr>
      <w:pBdr>
        <w:left w:val="single" w:sz="4" w:space="0" w:color="auto"/>
        <w:right w:val="single" w:sz="4" w:space="0" w:color="auto"/>
        <w:top w:val="single" w:sz="4" w:space="0" w:color="auto"/>
        <w:bottom w:val="single" w:sz="4" w:space="0" w:color="auto"/>
      </w:pBdr>
      <w:shd w:val="clear" w:color="000000" w:fill="b8cce4"/>
      <w:spacing w:before="100" w:beforeAutospacing="true" w:after="100" w:afterAutospacing="true"/>
      <w:jc w:val="center"/>
      <w:textAlignment w:val="center"/>
    </w:pPr>
    <w:rPr>
      <w:b/>
      <w:bCs/>
      <w:color w:val="000000"/>
    </w:rPr>
  </w:style>
  <w:style w:type="paragraph" w:customStyle="1" w:styleId="style4245">
    <w:name w:val="xl189"/>
    <w:basedOn w:val="style0"/>
    <w:next w:val="style4245"/>
    <w:pPr>
      <w:pBdr>
        <w:left w:val="single" w:sz="8"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b/>
      <w:bCs/>
    </w:rPr>
  </w:style>
  <w:style w:type="paragraph" w:customStyle="1" w:styleId="style4246">
    <w:name w:val="xl190"/>
    <w:basedOn w:val="style0"/>
    <w:next w:val="style4246"/>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b/>
      <w:bCs/>
    </w:rPr>
  </w:style>
  <w:style w:type="paragraph" w:customStyle="1" w:styleId="style4247">
    <w:name w:val="xl191"/>
    <w:basedOn w:val="style0"/>
    <w:next w:val="style4247"/>
    <w:pPr>
      <w:pBdr>
        <w:left w:val="single" w:sz="8"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top"/>
    </w:pPr>
    <w:rPr>
      <w:b/>
      <w:bCs/>
      <w:i/>
      <w:iCs/>
      <w:color w:val="000000"/>
    </w:rPr>
  </w:style>
  <w:style w:type="paragraph" w:customStyle="1" w:styleId="style4248">
    <w:name w:val="xl192"/>
    <w:basedOn w:val="style0"/>
    <w:next w:val="style4248"/>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top"/>
    </w:pPr>
    <w:rPr>
      <w:b/>
      <w:bCs/>
      <w:i/>
      <w:iCs/>
      <w:color w:val="000000"/>
    </w:rPr>
  </w:style>
  <w:style w:type="paragraph" w:styleId="style43">
    <w:name w:val="endnote text"/>
    <w:basedOn w:val="style0"/>
    <w:next w:val="style43"/>
    <w:link w:val="style4249"/>
    <w:uiPriority w:val="99"/>
    <w:pPr/>
    <w:rPr>
      <w:sz w:val="20"/>
      <w:szCs w:val="20"/>
    </w:rPr>
  </w:style>
  <w:style w:type="character" w:customStyle="1" w:styleId="style4249">
    <w:name w:val="Note de fin Car"/>
    <w:basedOn w:val="style65"/>
    <w:next w:val="style4249"/>
    <w:link w:val="style43"/>
    <w:uiPriority w:val="99"/>
    <w:rPr>
      <w:rFonts w:ascii="Times New Roman" w:cs="Times New Roman" w:eastAsia="Times New Roman" w:hAnsi="Times New Roman"/>
      <w:sz w:val="20"/>
      <w:szCs w:val="20"/>
      <w:lang w:eastAsia="fr-FR"/>
    </w:rPr>
  </w:style>
  <w:style w:type="character" w:styleId="style42">
    <w:name w:val="endnote reference"/>
    <w:basedOn w:val="style65"/>
    <w:next w:val="style42"/>
    <w:uiPriority w:val="99"/>
    <w:rPr>
      <w:vertAlign w:val="superscript"/>
    </w:rPr>
  </w:style>
  <w:style w:type="paragraph" w:customStyle="1" w:styleId="style4250">
    <w:name w:val="msonormal"/>
    <w:basedOn w:val="style0"/>
    <w:next w:val="style4250"/>
    <w:pPr>
      <w:spacing w:before="100" w:beforeAutospacing="true" w:after="100" w:afterAutospacing="true"/>
    </w:pPr>
    <w:rPr/>
  </w:style>
  <w:style w:type="character" w:styleId="style86">
    <w:name w:val="FollowedHyperlink"/>
    <w:basedOn w:val="style65"/>
    <w:next w:val="style86"/>
    <w:uiPriority w:val="99"/>
    <w:rPr>
      <w:color w:val="800080"/>
      <w:u w:val="single"/>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251">
    <w:name w:val="PDIC1"/>
    <w:basedOn w:val="style0"/>
    <w:next w:val="style4251"/>
    <w:qFormat/>
    <w:pPr>
      <w:ind w:left="-284"/>
    </w:pPr>
    <w:rPr>
      <w:rFonts w:ascii="Garamond" w:hAnsi="Garamond"/>
      <w:b/>
      <w:szCs w:val="28"/>
      <w:u w:val="single"/>
    </w:rPr>
  </w:style>
  <w:style w:type="paragraph" w:customStyle="1" w:styleId="style4252">
    <w:name w:val="PDIC2"/>
    <w:basedOn w:val="style0"/>
    <w:next w:val="style4252"/>
    <w:qFormat/>
    <w:pPr>
      <w:spacing w:lineRule="auto" w:line="276"/>
      <w:ind w:left="-284"/>
    </w:pPr>
    <w:rPr>
      <w:rFonts w:ascii="Garamond" w:hAnsi="Garamond"/>
      <w:sz w:val="22"/>
      <w:szCs w:val="28"/>
      <w:u w:val="double"/>
    </w:rPr>
  </w:style>
  <w:style w:type="paragraph" w:customStyle="1" w:styleId="style4253">
    <w:name w:val="PDIC3"/>
    <w:basedOn w:val="style0"/>
    <w:next w:val="style4253"/>
    <w:qFormat/>
    <w:pPr>
      <w:spacing w:after="160" w:lineRule="auto" w:line="259"/>
    </w:pPr>
    <w:rPr>
      <w:rFonts w:ascii="Garamond" w:hAnsi="Garamond"/>
      <w:b/>
      <w:i/>
      <w:szCs w:val="28"/>
    </w:rPr>
  </w:style>
  <w:style w:type="paragraph" w:customStyle="1" w:styleId="style4254">
    <w:name w:val="k1"/>
    <w:basedOn w:val="style0"/>
    <w:next w:val="style4254"/>
    <w:qFormat/>
    <w:pPr>
      <w:spacing w:after="200" w:lineRule="auto" w:line="276"/>
    </w:pPr>
    <w:rPr>
      <w:rFonts w:ascii="Tahoma" w:cs="Tahoma" w:eastAsia="Calibri" w:hAnsi="Tahoma"/>
      <w:b/>
      <w:szCs w:val="22"/>
      <w:lang w:eastAsia="en-US"/>
    </w:rPr>
  </w:style>
  <w:style w:type="paragraph" w:customStyle="1" w:styleId="style4255">
    <w:name w:val="xl63"/>
    <w:basedOn w:val="style0"/>
    <w:next w:val="style4255"/>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256">
    <w:name w:val="xl64"/>
    <w:basedOn w:val="style0"/>
    <w:next w:val="style4256"/>
    <w:pPr>
      <w:pBdr>
        <w:left w:val="single" w:sz="4" w:space="0" w:color="auto"/>
        <w:right w:val="single" w:sz="4" w:space="0" w:color="auto"/>
        <w:top w:val="single" w:sz="4" w:space="0" w:color="auto"/>
        <w:bottom w:val="single" w:sz="4" w:space="0" w:color="auto"/>
      </w:pBdr>
      <w:spacing w:before="100" w:beforeAutospacing="true" w:after="100" w:afterAutospacing="true"/>
      <w:jc w:val="both"/>
      <w:textAlignment w:val="center"/>
    </w:pPr>
    <w:rPr>
      <w:rFonts w:ascii="Century Gothic" w:hAnsi="Century Gothic"/>
      <w:b/>
      <w:bCs/>
    </w:rPr>
  </w:style>
  <w:style w:type="character" w:customStyle="1" w:styleId="style4257">
    <w:name w:val="dflfde"/>
    <w:basedOn w:val="style65"/>
    <w:next w:val="style4257"/>
  </w:style>
  <w:style w:type="character" w:customStyle="1" w:styleId="style4258">
    <w:name w:val="mwvive"/>
    <w:basedOn w:val="style65"/>
    <w:next w:val="style4258"/>
  </w:style>
  <w:style w:type="paragraph" w:styleId="style35">
    <w:name w:val="table of figures"/>
    <w:basedOn w:val="style0"/>
    <w:next w:val="style0"/>
    <w:uiPriority w:val="99"/>
    <w:pPr/>
  </w:style>
</w:styles>
</file>

<file path=word/_rels/document.xml.rels><?xml version="1.0" encoding="UTF-8"?>
<Relationships xmlns="http://schemas.openxmlformats.org/package/2006/relationships"><Relationship Id="rId20" Type="http://schemas.openxmlformats.org/officeDocument/2006/relationships/image" Target="media/image8.jpeg"/><Relationship Id="rId22" Type="http://schemas.openxmlformats.org/officeDocument/2006/relationships/image" Target="media/image9.jpeg"/><Relationship Id="rId21" Type="http://schemas.openxmlformats.org/officeDocument/2006/relationships/image" Target="media/image8.png"/><Relationship Id="rId24" Type="http://schemas.openxmlformats.org/officeDocument/2006/relationships/footnotes" Target="footnotes.xml"/><Relationship Id="rId23"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9" Type="http://schemas.openxmlformats.org/officeDocument/2006/relationships/image" Target="media/image2.jpeg"/><Relationship Id="rId26" Type="http://schemas.openxmlformats.org/officeDocument/2006/relationships/fontTable" Target="fontTable.xml"/><Relationship Id="rId25" Type="http://schemas.openxmlformats.org/officeDocument/2006/relationships/styles" Target="styles.xml"/><Relationship Id="rId28" Type="http://schemas.openxmlformats.org/officeDocument/2006/relationships/theme" Target="theme/theme1.xml"/><Relationship Id="rId27"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chart" Target="charts/chart1.xml"/><Relationship Id="rId29"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6.jpeg"/><Relationship Id="rId12" Type="http://schemas.openxmlformats.org/officeDocument/2006/relationships/image" Target="media/image5.jpe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footer" Target="footer2.xml"/><Relationship Id="rId16" Type="http://schemas.openxmlformats.org/officeDocument/2006/relationships/image" Target="media/image7.png"/><Relationship Id="rId19" Type="http://schemas.openxmlformats.org/officeDocument/2006/relationships/image" Target="media/image7.jpeg"/><Relationship Id="rId18" Type="http://schemas.openxmlformats.org/officeDocument/2006/relationships/image" Target="media/image2.emf"/></Relationships>
</file>

<file path=word/charts/_rels/chart1.xml.rels><?xml version="1.0" encoding="UTF-8"?>
<Relationships xmlns="http://schemas.openxmlformats.org/package/2006/relationships"><Relationship Id="rId1" Type="http://schemas.openxmlformats.org/officeDocument/2006/relationships/oleObject" TargetMode="External" Target="file:/F:/SIG/Consultation/GaMoWigna/Zecco/Stat_zecco.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lumMod val="60000"/>
                <a:lumOff val="40000"/>
              </a:schemeClr>
            </a:solidFill>
            <a:ln>
              <a:solidFill>
                <a:srgbClr val="FF0000"/>
              </a:solidFill>
            </a:ln>
            <a:effectLst/>
          </c:spPr>
          <c:invertIfNegative val="0"/>
          <c:cat>
            <c:strRef>
              <c:f>Feuil1!$A$2:$A$5</c:f>
              <c:strCache>
                <c:ptCount val="4"/>
                <c:pt idx="0">
                  <c:v>Culture pluviale et territoire agroforestier</c:v>
                </c:pt>
                <c:pt idx="1">
                  <c:v>Savane arborée</c:v>
                </c:pt>
                <c:pt idx="2">
                  <c:v>Savane arbustive et herbeuse</c:v>
                </c:pt>
                <c:pt idx="3">
                  <c:v>Zone nue</c:v>
                </c:pt>
              </c:strCache>
            </c:strRef>
          </c:cat>
          <c:val>
            <c:numRef>
              <c:f>Feuil1!$N$2:$N$5</c:f>
              <c:numCache>
                <c:formatCode>0.00%</c:formatCode>
                <c:ptCount val="4"/>
                <c:pt idx="0">
                  <c:v>0.0184765605014547</c:v>
                </c:pt>
                <c:pt idx="1">
                  <c:v>-0.0433751406575625</c:v>
                </c:pt>
                <c:pt idx="2">
                  <c:v>-0.0224933069364861</c:v>
                </c:pt>
                <c:pt idx="3">
                  <c:v>0.0317402813258672</c:v>
                </c:pt>
              </c:numCache>
            </c:numRef>
          </c:val>
        </c:ser>
        <c:dLbls>
          <c:showLegendKey val="0"/>
          <c:showVal val="0"/>
          <c:showCatName val="0"/>
          <c:showSerName val="0"/>
          <c:showPercent val="0"/>
          <c:showBubbleSize val="0"/>
        </c:dLbls>
        <c:gapWidth val="219"/>
        <c:overlap val="-27"/>
        <c:axId val="-1750290352"/>
        <c:axId val="-1750289264"/>
      </c:barChart>
      <c:catAx>
        <c:axId val="-175029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0289264"/>
        <c:crosses val="autoZero"/>
        <c:auto val="1"/>
        <c:lblAlgn val="ctr"/>
        <c:lblOffset val="100"/>
        <c:noMultiLvlLbl val="0"/>
      </c:catAx>
      <c:valAx>
        <c:axId val="-175028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Taux Moyenn</a:t>
                </a:r>
                <a:r>
                  <a:rPr lang="fr-FR" baseline="0"/>
                  <a:t> annuel d'expansion spatiale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029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9499-0438-40F8-8F1D-CC992357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22227</Words>
  <Pages>68</Pages>
  <Characters>119837</Characters>
  <Application>WPS Office</Application>
  <DocSecurity>0</DocSecurity>
  <Paragraphs>3821</Paragraphs>
  <ScaleCrop>false</ScaleCrop>
  <Company>Microsoft</Company>
  <LinksUpToDate>false</LinksUpToDate>
  <CharactersWithSpaces>140339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2021-09-14T13:45:27Z</dcterms:created>
  <dc:creator>Microsoft</dc:creator>
  <lastModifiedBy>Infinix X688B</lastModifiedBy>
  <lastPrinted>2018-04-27T15:18:00Z</lastPrinted>
  <dcterms:modified xsi:type="dcterms:W3CDTF">2021-09-14T13:45:29Z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10872ffabe274340bc79554f6a984b0d</vt:lpwstr>
  </property>
</Properties>
</file>