
<file path=[Content_Types].xml><?xml version="1.0" encoding="utf-8"?>
<Types xmlns="http://schemas.openxmlformats.org/package/2006/content-types">
  <Default Extension="xlsx" ContentType="application/vnd.openxmlformats-officedocument.spreadsheetml.sheet"/>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charts/colors1.xml" ContentType="application/vnd.ms-office.chartcolorstyle+xml"/>
  <Override PartName="/word/fontTable.xml" ContentType="application/vnd.openxmlformats-officedocument.wordprocessingml.fontTable+xml"/>
  <Override PartName="/docProps/core.xml" ContentType="application/vnd.openxmlformats-package.core-properties+xml"/>
  <Override PartName="/word/footnotes.xml" ContentType="application/vnd.openxmlformats-officedocument.wordprocessingml.footnotes+xml"/>
  <Override PartName="/word/footer1.xml" ContentType="application/vnd.openxmlformats-officedocument.wordprocessingml.footer+xml"/>
  <Override PartName="/word/charts/chart1.xml" ContentType="application/vnd.openxmlformats-officedocument.drawingml.chart+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word/charts/style1.xml" ContentType="application/vnd.ms-office.chartsty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29"/>
        <w:tabs>
          <w:tab w:val="left" w:leader="none" w:pos="9214"/>
          <w:tab w:val="left" w:leader="none" w:pos="9639"/>
        </w:tabs>
        <w:rPr>
          <w:rFonts w:ascii="Century Gothic" w:hAnsi="Century Gothic"/>
          <w:sz w:val="24"/>
          <w:szCs w:val="24"/>
        </w:rPr>
      </w:pPr>
      <w:r>
        <w:rPr>
          <w:rFonts w:ascii="Century Gothic" w:hAnsi="Century Gothic"/>
          <w:noProof/>
          <w:sz w:val="24"/>
          <w:szCs w:val="24"/>
        </w:rPr>
        <w:drawing>
          <wp:anchor distT="0" distB="0" distL="114300" distR="114300" simplePos="false" relativeHeight="8" behindDoc="true" locked="false" layoutInCell="true" allowOverlap="true">
            <wp:simplePos x="0" y="0"/>
            <wp:positionH relativeFrom="column">
              <wp:posOffset>-3810</wp:posOffset>
            </wp:positionH>
            <wp:positionV relativeFrom="paragraph">
              <wp:posOffset>0</wp:posOffset>
            </wp:positionV>
            <wp:extent cx="6057900" cy="8750300"/>
            <wp:effectExtent l="0" t="0" r="0" b="0"/>
            <wp:wrapTight wrapText="bothSides">
              <wp:wrapPolygon edited="false">
                <wp:start x="0" y="0"/>
                <wp:lineTo x="0" y="21537"/>
                <wp:lineTo x="21532" y="21537"/>
                <wp:lineTo x="21532" y="0"/>
                <wp:lineTo x="0" y="0"/>
              </wp:wrapPolygon>
            </wp:wrapTight>
            <wp:docPr id="1026" name="Image 22" descr="C:\Users\HP\Desktop\DOSSIER PDIC-GAMOWIGNA\DOCUMENTS PDIC TIEBELE-ZECCO\PDIC TIEBELE\PDG-PDIC-TIEBEL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2" cstate="print"/>
                    <a:srcRect l="0" t="0" r="0" b="0"/>
                    <a:stretch/>
                  </pic:blipFill>
                  <pic:spPr>
                    <a:xfrm rot="0">
                      <a:off x="0" y="0"/>
                      <a:ext cx="6057900" cy="8750300"/>
                    </a:xfrm>
                    <a:prstGeom prst="rect"/>
                    <a:ln>
                      <a:noFill/>
                    </a:ln>
                  </pic:spPr>
                </pic:pic>
              </a:graphicData>
            </a:graphic>
            <wp14:sizeRelH relativeFrom="page">
              <wp14:pctWidth>0</wp14:pctWidth>
            </wp14:sizeRelH>
            <wp14:sizeRelV relativeFrom="page">
              <wp14:pctHeight>0</wp14:pctHeight>
            </wp14:sizeRelV>
          </wp:anchor>
        </w:drawing>
      </w:r>
    </w:p>
    <w:p>
      <w:pPr>
        <w:pStyle w:val="style29"/>
        <w:tabs>
          <w:tab w:val="left" w:leader="none" w:pos="9214"/>
          <w:tab w:val="left" w:leader="none" w:pos="9639"/>
        </w:tabs>
        <w:rPr>
          <w:rFonts w:ascii="Century Gothic" w:hAnsi="Century Gothic"/>
          <w:sz w:val="24"/>
          <w:szCs w:val="24"/>
        </w:rPr>
      </w:pPr>
    </w:p>
    <w:p>
      <w:pPr>
        <w:pStyle w:val="style29"/>
        <w:tabs>
          <w:tab w:val="left" w:leader="none" w:pos="9214"/>
          <w:tab w:val="left" w:leader="none" w:pos="9639"/>
        </w:tabs>
        <w:rPr>
          <w:rFonts w:ascii="Century Gothic" w:hAnsi="Century Gothic"/>
          <w:sz w:val="24"/>
          <w:szCs w:val="24"/>
        </w:rPr>
        <w:sectPr>
          <w:footerReference w:type="default" r:id="rId3"/>
          <w:pgSz w:w="11920" w:h="16840" w:orient="portrait"/>
          <w:pgMar w:top="1134" w:right="1134" w:bottom="1134" w:left="1134" w:header="709" w:footer="709" w:gutter="0"/>
          <w:pgNumType w:fmt="lowerRoman"/>
          <w:cols w:space="708"/>
          <w:titlePg/>
          <w:docGrid w:linePitch="360"/>
        </w:sectPr>
      </w:pPr>
    </w:p>
    <w:bookmarkStart w:id="0" w:name="_Toc82046062"/>
    <w:p>
      <w:pPr>
        <w:pStyle w:val="style1"/>
        <w:numPr>
          <w:ilvl w:val="0"/>
          <w:numId w:val="0"/>
        </w:numPr>
        <w:tabs>
          <w:tab w:val="left" w:leader="none" w:pos="9214"/>
          <w:tab w:val="left" w:leader="none" w:pos="9639"/>
        </w:tabs>
        <w:spacing w:before="0" w:after="0"/>
        <w:ind w:hanging="432"/>
        <w:rPr>
          <w:rFonts w:ascii="Century Gothic" w:hAnsi="Century Gothic"/>
          <w:sz w:val="20"/>
          <w:szCs w:val="20"/>
        </w:rPr>
      </w:pPr>
      <w:r>
        <w:rPr>
          <w:rFonts w:ascii="Century Gothic" w:hAnsi="Century Gothic"/>
          <w:sz w:val="20"/>
          <w:szCs w:val="20"/>
        </w:rPr>
        <w:t>TABLE DES MATIERES</w:t>
      </w:r>
      <w:bookmarkEnd w:id="0"/>
    </w:p>
    <w:p>
      <w:pPr>
        <w:pStyle w:val="style266"/>
        <w:tabs>
          <w:tab w:val="left" w:leader="none" w:pos="9214"/>
          <w:tab w:val="left" w:leader="none" w:pos="9639"/>
        </w:tabs>
        <w:spacing w:before="0" w:lineRule="auto" w:line="240"/>
        <w:rPr>
          <w:rFonts w:ascii="Century Gothic" w:cs="Times New Roman" w:hAnsi="Century Gothic"/>
          <w:b/>
          <w:color w:val="auto"/>
          <w:sz w:val="20"/>
          <w:szCs w:val="20"/>
        </w:rPr>
      </w:pPr>
    </w:p>
    <w:p>
      <w:pPr>
        <w:pStyle w:val="style19"/>
        <w:rPr>
          <w:rFonts w:cs="宋体" w:eastAsia="宋体"/>
          <w:sz w:val="20"/>
          <w:szCs w:val="20"/>
        </w:rPr>
      </w:pPr>
      <w:r>
        <w:rPr>
          <w:sz w:val="20"/>
          <w:szCs w:val="20"/>
        </w:rPr>
        <w:fldChar w:fldCharType="begin"/>
      </w:r>
      <w:r>
        <w:rPr>
          <w:sz w:val="20"/>
          <w:szCs w:val="20"/>
        </w:rPr>
        <w:instrText xml:space="preserve"> TOC \o "1-3" \h \z \u </w:instrText>
      </w:r>
      <w:r>
        <w:rPr>
          <w:sz w:val="20"/>
          <w:szCs w:val="20"/>
        </w:rPr>
        <w:fldChar w:fldCharType="separate"/>
      </w:r>
      <w:r>
        <w:rPr/>
        <w:fldChar w:fldCharType="begin"/>
      </w:r>
      <w:r>
        <w:instrText xml:space="preserve"> HYPERLINK \l "_Toc82046062" </w:instrText>
      </w:r>
      <w:r>
        <w:rPr/>
        <w:fldChar w:fldCharType="separate"/>
      </w:r>
      <w:r>
        <w:rPr>
          <w:rStyle w:val="style85"/>
          <w:sz w:val="20"/>
          <w:szCs w:val="20"/>
        </w:rPr>
        <w:t>TABLE DES MATIERES</w:t>
      </w:r>
      <w:r>
        <w:rPr>
          <w:webHidden/>
          <w:sz w:val="20"/>
          <w:szCs w:val="20"/>
        </w:rPr>
        <w:tab/>
      </w:r>
      <w:r>
        <w:rPr>
          <w:webHidden/>
          <w:sz w:val="20"/>
          <w:szCs w:val="20"/>
        </w:rPr>
        <w:fldChar w:fldCharType="begin"/>
      </w:r>
      <w:r>
        <w:rPr>
          <w:webHidden/>
          <w:sz w:val="20"/>
          <w:szCs w:val="20"/>
        </w:rPr>
        <w:instrText xml:space="preserve"> PAGEREF _Toc82046062 \h </w:instrText>
      </w:r>
      <w:r>
        <w:rPr>
          <w:webHidden/>
          <w:sz w:val="20"/>
          <w:szCs w:val="20"/>
        </w:rPr>
        <w:fldChar w:fldCharType="separate"/>
      </w:r>
      <w:r>
        <w:rPr>
          <w:webHidden/>
          <w:sz w:val="20"/>
          <w:szCs w:val="20"/>
        </w:rPr>
        <w:t>i</w:t>
      </w:r>
      <w:r>
        <w:rPr>
          <w:webHidden/>
          <w:sz w:val="20"/>
          <w:szCs w:val="20"/>
        </w:rPr>
        <w:fldChar w:fldCharType="end"/>
      </w:r>
      <w:r>
        <w:rPr/>
        <w:fldChar w:fldCharType="end"/>
      </w:r>
    </w:p>
    <w:p>
      <w:pPr>
        <w:pStyle w:val="style19"/>
        <w:rPr>
          <w:rFonts w:cs="宋体" w:eastAsia="宋体"/>
          <w:sz w:val="20"/>
          <w:szCs w:val="20"/>
        </w:rPr>
      </w:pPr>
      <w:r>
        <w:rPr/>
        <w:fldChar w:fldCharType="begin"/>
      </w:r>
      <w:r>
        <w:instrText xml:space="preserve"> HYPERLINK \l "_Toc82046063" </w:instrText>
      </w:r>
      <w:r>
        <w:rPr/>
        <w:fldChar w:fldCharType="separate"/>
      </w:r>
      <w:r>
        <w:rPr>
          <w:rStyle w:val="style85"/>
          <w:sz w:val="20"/>
          <w:szCs w:val="20"/>
        </w:rPr>
        <w:t>Liste des tableaux</w:t>
      </w:r>
      <w:r>
        <w:rPr>
          <w:webHidden/>
          <w:sz w:val="20"/>
          <w:szCs w:val="20"/>
        </w:rPr>
        <w:tab/>
      </w:r>
      <w:r>
        <w:rPr>
          <w:webHidden/>
          <w:sz w:val="20"/>
          <w:szCs w:val="20"/>
        </w:rPr>
        <w:fldChar w:fldCharType="begin"/>
      </w:r>
      <w:r>
        <w:rPr>
          <w:webHidden/>
          <w:sz w:val="20"/>
          <w:szCs w:val="20"/>
        </w:rPr>
        <w:instrText xml:space="preserve"> PAGEREF _Toc82046063 \h </w:instrText>
      </w:r>
      <w:r>
        <w:rPr>
          <w:webHidden/>
          <w:sz w:val="20"/>
          <w:szCs w:val="20"/>
        </w:rPr>
        <w:fldChar w:fldCharType="separate"/>
      </w:r>
      <w:r>
        <w:rPr>
          <w:webHidden/>
          <w:sz w:val="20"/>
          <w:szCs w:val="20"/>
        </w:rPr>
        <w:t>ii</w:t>
      </w:r>
      <w:r>
        <w:rPr>
          <w:webHidden/>
          <w:sz w:val="20"/>
          <w:szCs w:val="20"/>
        </w:rPr>
        <w:fldChar w:fldCharType="end"/>
      </w:r>
      <w:r>
        <w:rPr/>
        <w:fldChar w:fldCharType="end"/>
      </w:r>
    </w:p>
    <w:p>
      <w:pPr>
        <w:pStyle w:val="style19"/>
        <w:rPr>
          <w:rFonts w:cs="宋体" w:eastAsia="宋体"/>
          <w:sz w:val="20"/>
          <w:szCs w:val="20"/>
        </w:rPr>
      </w:pPr>
      <w:r>
        <w:rPr/>
        <w:fldChar w:fldCharType="begin"/>
      </w:r>
      <w:r>
        <w:instrText xml:space="preserve"> HYPERLINK \l "_Toc82046064" </w:instrText>
      </w:r>
      <w:r>
        <w:rPr/>
        <w:fldChar w:fldCharType="separate"/>
      </w:r>
      <w:r>
        <w:rPr>
          <w:rStyle w:val="style85"/>
          <w:sz w:val="20"/>
          <w:szCs w:val="20"/>
        </w:rPr>
        <w:t>Liste des figures</w:t>
      </w:r>
      <w:r>
        <w:rPr>
          <w:webHidden/>
          <w:sz w:val="20"/>
          <w:szCs w:val="20"/>
        </w:rPr>
        <w:tab/>
      </w:r>
      <w:r>
        <w:rPr>
          <w:webHidden/>
          <w:sz w:val="20"/>
          <w:szCs w:val="20"/>
        </w:rPr>
        <w:fldChar w:fldCharType="begin"/>
      </w:r>
      <w:r>
        <w:rPr>
          <w:webHidden/>
          <w:sz w:val="20"/>
          <w:szCs w:val="20"/>
        </w:rPr>
        <w:instrText xml:space="preserve"> PAGEREF _Toc82046064 \h </w:instrText>
      </w:r>
      <w:r>
        <w:rPr>
          <w:webHidden/>
          <w:sz w:val="20"/>
          <w:szCs w:val="20"/>
        </w:rPr>
        <w:fldChar w:fldCharType="separate"/>
      </w:r>
      <w:r>
        <w:rPr>
          <w:webHidden/>
          <w:sz w:val="20"/>
          <w:szCs w:val="20"/>
        </w:rPr>
        <w:t>ii</w:t>
      </w:r>
      <w:r>
        <w:rPr>
          <w:webHidden/>
          <w:sz w:val="20"/>
          <w:szCs w:val="20"/>
        </w:rPr>
        <w:fldChar w:fldCharType="end"/>
      </w:r>
      <w:r>
        <w:rPr/>
        <w:fldChar w:fldCharType="end"/>
      </w:r>
    </w:p>
    <w:p>
      <w:pPr>
        <w:pStyle w:val="style19"/>
        <w:rPr>
          <w:rFonts w:cs="宋体" w:eastAsia="宋体"/>
          <w:sz w:val="20"/>
          <w:szCs w:val="20"/>
        </w:rPr>
      </w:pPr>
      <w:r>
        <w:rPr/>
        <w:fldChar w:fldCharType="begin"/>
      </w:r>
      <w:r>
        <w:instrText xml:space="preserve"> HYPERLINK \l "_Toc82046065" </w:instrText>
      </w:r>
      <w:r>
        <w:rPr/>
        <w:fldChar w:fldCharType="separate"/>
      </w:r>
      <w:r>
        <w:rPr>
          <w:rStyle w:val="style85"/>
          <w:sz w:val="20"/>
          <w:szCs w:val="20"/>
        </w:rPr>
        <w:t>Sigles et abréviations</w:t>
      </w:r>
      <w:r>
        <w:rPr>
          <w:webHidden/>
          <w:sz w:val="20"/>
          <w:szCs w:val="20"/>
        </w:rPr>
        <w:tab/>
      </w:r>
      <w:r>
        <w:rPr>
          <w:webHidden/>
          <w:sz w:val="20"/>
          <w:szCs w:val="20"/>
        </w:rPr>
        <w:fldChar w:fldCharType="begin"/>
      </w:r>
      <w:r>
        <w:rPr>
          <w:webHidden/>
          <w:sz w:val="20"/>
          <w:szCs w:val="20"/>
        </w:rPr>
        <w:instrText xml:space="preserve"> PAGEREF _Toc82046065 \h </w:instrText>
      </w:r>
      <w:r>
        <w:rPr>
          <w:webHidden/>
          <w:sz w:val="20"/>
          <w:szCs w:val="20"/>
        </w:rPr>
        <w:fldChar w:fldCharType="separate"/>
      </w:r>
      <w:r>
        <w:rPr>
          <w:webHidden/>
          <w:sz w:val="20"/>
          <w:szCs w:val="20"/>
        </w:rPr>
        <w:t>iii</w:t>
      </w:r>
      <w:r>
        <w:rPr>
          <w:webHidden/>
          <w:sz w:val="20"/>
          <w:szCs w:val="20"/>
        </w:rPr>
        <w:fldChar w:fldCharType="end"/>
      </w:r>
      <w:r>
        <w:rPr/>
        <w:fldChar w:fldCharType="end"/>
      </w:r>
    </w:p>
    <w:p>
      <w:pPr>
        <w:pStyle w:val="style19"/>
        <w:rPr>
          <w:rFonts w:cs="宋体" w:eastAsia="宋体"/>
          <w:sz w:val="20"/>
          <w:szCs w:val="20"/>
        </w:rPr>
      </w:pPr>
      <w:r>
        <w:rPr/>
        <w:fldChar w:fldCharType="begin"/>
      </w:r>
      <w:r>
        <w:instrText xml:space="preserve"> HYPERLINK \l "_Toc82046066" </w:instrText>
      </w:r>
      <w:r>
        <w:rPr/>
        <w:fldChar w:fldCharType="separate"/>
      </w:r>
      <w:r>
        <w:rPr>
          <w:rStyle w:val="style85"/>
          <w:sz w:val="20"/>
          <w:szCs w:val="20"/>
        </w:rPr>
        <w:t>I. INFORMATIONS GENERALES</w:t>
      </w:r>
      <w:r>
        <w:rPr>
          <w:webHidden/>
          <w:sz w:val="20"/>
          <w:szCs w:val="20"/>
        </w:rPr>
        <w:tab/>
      </w:r>
      <w:r>
        <w:rPr>
          <w:webHidden/>
          <w:sz w:val="20"/>
          <w:szCs w:val="20"/>
        </w:rPr>
        <w:fldChar w:fldCharType="begin"/>
      </w:r>
      <w:r>
        <w:rPr>
          <w:webHidden/>
          <w:sz w:val="20"/>
          <w:szCs w:val="20"/>
        </w:rPr>
        <w:instrText xml:space="preserve"> PAGEREF _Toc82046066 \h </w:instrText>
      </w:r>
      <w:r>
        <w:rPr>
          <w:webHidden/>
          <w:sz w:val="20"/>
          <w:szCs w:val="20"/>
        </w:rPr>
        <w:fldChar w:fldCharType="separate"/>
      </w:r>
      <w:r>
        <w:rPr>
          <w:webHidden/>
          <w:sz w:val="20"/>
          <w:szCs w:val="20"/>
        </w:rPr>
        <w:t>1</w:t>
      </w:r>
      <w:r>
        <w:rPr>
          <w:webHidden/>
          <w:sz w:val="20"/>
          <w:szCs w:val="20"/>
        </w:rPr>
        <w:fldChar w:fldCharType="end"/>
      </w:r>
      <w:r>
        <w:rPr/>
        <w:fldChar w:fldCharType="end"/>
      </w:r>
    </w:p>
    <w:p>
      <w:pPr>
        <w:pStyle w:val="style19"/>
        <w:rPr>
          <w:rFonts w:cs="宋体" w:eastAsia="宋体"/>
          <w:sz w:val="20"/>
          <w:szCs w:val="20"/>
        </w:rPr>
      </w:pPr>
      <w:r>
        <w:rPr/>
        <w:fldChar w:fldCharType="begin"/>
      </w:r>
      <w:r>
        <w:instrText xml:space="preserve"> HYPERLINK \l "_Toc82046067" </w:instrText>
      </w:r>
      <w:r>
        <w:rPr/>
        <w:fldChar w:fldCharType="separate"/>
      </w:r>
      <w:r>
        <w:rPr>
          <w:rStyle w:val="style85"/>
          <w:sz w:val="20"/>
          <w:szCs w:val="20"/>
        </w:rPr>
        <w:t>II. Brève présentation de la commune</w:t>
      </w:r>
      <w:r>
        <w:rPr>
          <w:webHidden/>
          <w:sz w:val="20"/>
          <w:szCs w:val="20"/>
        </w:rPr>
        <w:tab/>
      </w:r>
      <w:r>
        <w:rPr>
          <w:webHidden/>
          <w:sz w:val="20"/>
          <w:szCs w:val="20"/>
        </w:rPr>
        <w:fldChar w:fldCharType="begin"/>
      </w:r>
      <w:r>
        <w:rPr>
          <w:webHidden/>
          <w:sz w:val="20"/>
          <w:szCs w:val="20"/>
        </w:rPr>
        <w:instrText xml:space="preserve"> PAGEREF _Toc82046067 \h </w:instrText>
      </w:r>
      <w:r>
        <w:rPr>
          <w:webHidden/>
          <w:sz w:val="20"/>
          <w:szCs w:val="20"/>
        </w:rPr>
        <w:fldChar w:fldCharType="separate"/>
      </w:r>
      <w:r>
        <w:rPr>
          <w:webHidden/>
          <w:sz w:val="20"/>
          <w:szCs w:val="20"/>
        </w:rPr>
        <w:t>2</w:t>
      </w:r>
      <w:r>
        <w:rPr>
          <w:webHidden/>
          <w:sz w:val="20"/>
          <w:szCs w:val="20"/>
        </w:rPr>
        <w:fldChar w:fldCharType="end"/>
      </w:r>
      <w:r>
        <w:rPr/>
        <w:fldChar w:fldCharType="end"/>
      </w:r>
    </w:p>
    <w:p>
      <w:pPr>
        <w:pStyle w:val="style19"/>
        <w:rPr>
          <w:rFonts w:cs="宋体" w:eastAsia="宋体"/>
          <w:sz w:val="20"/>
          <w:szCs w:val="20"/>
        </w:rPr>
      </w:pPr>
      <w:r>
        <w:rPr/>
        <w:fldChar w:fldCharType="begin"/>
      </w:r>
      <w:r>
        <w:instrText xml:space="preserve"> HYPERLINK \l "_Toc82046068" </w:instrText>
      </w:r>
      <w:r>
        <w:rPr/>
        <w:fldChar w:fldCharType="separate"/>
      </w:r>
      <w:r>
        <w:rPr>
          <w:rStyle w:val="style85"/>
          <w:sz w:val="20"/>
          <w:szCs w:val="20"/>
        </w:rPr>
        <w:t>III. Description du PDIC/REDD+</w:t>
      </w:r>
      <w:r>
        <w:rPr>
          <w:webHidden/>
          <w:sz w:val="20"/>
          <w:szCs w:val="20"/>
        </w:rPr>
        <w:tab/>
      </w:r>
      <w:r>
        <w:rPr>
          <w:webHidden/>
          <w:sz w:val="20"/>
          <w:szCs w:val="20"/>
        </w:rPr>
        <w:fldChar w:fldCharType="begin"/>
      </w:r>
      <w:r>
        <w:rPr>
          <w:webHidden/>
          <w:sz w:val="20"/>
          <w:szCs w:val="20"/>
        </w:rPr>
        <w:instrText xml:space="preserve"> PAGEREF _Toc82046068 \h </w:instrText>
      </w:r>
      <w:r>
        <w:rPr>
          <w:webHidden/>
          <w:sz w:val="20"/>
          <w:szCs w:val="20"/>
        </w:rPr>
        <w:fldChar w:fldCharType="separate"/>
      </w:r>
      <w:r>
        <w:rPr>
          <w:webHidden/>
          <w:sz w:val="20"/>
          <w:szCs w:val="20"/>
        </w:rPr>
        <w:t>6</w:t>
      </w:r>
      <w:r>
        <w:rPr>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"_Toc82046069" </w:instrText>
      </w:r>
      <w:r>
        <w:rPr/>
        <w:fldChar w:fldCharType="separate"/>
      </w:r>
      <w:r>
        <w:rPr>
          <w:rStyle w:val="style85"/>
          <w:rFonts w:ascii="Century Gothic" w:hAnsi="Century Gothic"/>
          <w:noProof/>
          <w:sz w:val="20"/>
          <w:szCs w:val="20"/>
        </w:rPr>
        <w:t>3.1  Quelles sont les « contraintes » auxquelles le PDIC REDD + répond ? :</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_Toc82046069 \h </w:instrText>
      </w:r>
      <w:r>
        <w:rPr>
          <w:rFonts w:ascii="Century Gothic" w:hAnsi="Century Gothic"/>
          <w:noProof/>
          <w:webHidden/>
          <w:sz w:val="20"/>
          <w:szCs w:val="20"/>
        </w:rPr>
        <w:fldChar w:fldCharType="separate"/>
      </w:r>
      <w:r>
        <w:rPr>
          <w:rFonts w:ascii="Century Gothic" w:hAnsi="Century Gothic"/>
          <w:noProof/>
          <w:webHidden/>
          <w:sz w:val="20"/>
          <w:szCs w:val="20"/>
        </w:rPr>
        <w:t>6</w:t>
      </w:r>
      <w:r>
        <w:rPr>
          <w:rFonts w:ascii="Century Gothic" w:hAnsi="Century Gothic"/>
          <w:noProof/>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"_Toc82046070" </w:instrText>
      </w:r>
      <w:r>
        <w:rPr/>
        <w:fldChar w:fldCharType="separate"/>
      </w:r>
      <w:r>
        <w:rPr>
          <w:rStyle w:val="style85"/>
          <w:rFonts w:ascii="Century Gothic" w:hAnsi="Century Gothic"/>
          <w:noProof/>
          <w:sz w:val="20"/>
          <w:szCs w:val="20"/>
        </w:rPr>
        <w:t>3.2  Description globale du PDIC / REDD +</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_Toc82046070 \h </w:instrText>
      </w:r>
      <w:r>
        <w:rPr>
          <w:rFonts w:ascii="Century Gothic" w:hAnsi="Century Gothic"/>
          <w:noProof/>
          <w:webHidden/>
          <w:sz w:val="20"/>
          <w:szCs w:val="20"/>
        </w:rPr>
        <w:fldChar w:fldCharType="separate"/>
      </w:r>
      <w:r>
        <w:rPr>
          <w:rFonts w:ascii="Century Gothic" w:hAnsi="Century Gothic"/>
          <w:noProof/>
          <w:webHidden/>
          <w:sz w:val="20"/>
          <w:szCs w:val="20"/>
        </w:rPr>
        <w:t>11</w:t>
      </w:r>
      <w:r>
        <w:rPr>
          <w:rFonts w:ascii="Century Gothic" w:hAnsi="Century Gothic"/>
          <w:noProof/>
          <w:webHidden/>
          <w:sz w:val="20"/>
          <w:szCs w:val="20"/>
        </w:rPr>
        <w:fldChar w:fldCharType="end"/>
      </w:r>
      <w:r>
        <w:rPr/>
        <w:fldChar w:fldCharType="end"/>
      </w:r>
    </w:p>
    <w:p>
      <w:pPr>
        <w:pStyle w:val="style19"/>
        <w:rPr>
          <w:rFonts w:cs="宋体" w:eastAsia="宋体"/>
          <w:sz w:val="20"/>
          <w:szCs w:val="20"/>
        </w:rPr>
      </w:pPr>
      <w:r>
        <w:rPr/>
        <w:fldChar w:fldCharType="begin"/>
      </w:r>
      <w:r>
        <w:instrText xml:space="preserve"> HYPERLINK \l "_Toc82046071" </w:instrText>
      </w:r>
      <w:r>
        <w:rPr/>
        <w:fldChar w:fldCharType="separate"/>
      </w:r>
      <w:r>
        <w:rPr>
          <w:rStyle w:val="style85"/>
          <w:sz w:val="20"/>
          <w:szCs w:val="20"/>
        </w:rPr>
        <w:t>IV. Espaces de conservation de la commune</w:t>
      </w:r>
      <w:r>
        <w:rPr>
          <w:webHidden/>
          <w:sz w:val="20"/>
          <w:szCs w:val="20"/>
        </w:rPr>
        <w:tab/>
      </w:r>
      <w:r>
        <w:rPr>
          <w:webHidden/>
          <w:sz w:val="20"/>
          <w:szCs w:val="20"/>
        </w:rPr>
        <w:fldChar w:fldCharType="begin"/>
      </w:r>
      <w:r>
        <w:rPr>
          <w:webHidden/>
          <w:sz w:val="20"/>
          <w:szCs w:val="20"/>
        </w:rPr>
        <w:instrText xml:space="preserve"> PAGEREF _Toc82046071 \h </w:instrText>
      </w:r>
      <w:r>
        <w:rPr>
          <w:webHidden/>
          <w:sz w:val="20"/>
          <w:szCs w:val="20"/>
        </w:rPr>
        <w:fldChar w:fldCharType="separate"/>
      </w:r>
      <w:r>
        <w:rPr>
          <w:webHidden/>
          <w:sz w:val="20"/>
          <w:szCs w:val="20"/>
        </w:rPr>
        <w:t>12</w:t>
      </w:r>
      <w:r>
        <w:rPr>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"_Toc82046072" </w:instrText>
      </w:r>
      <w:r>
        <w:rPr/>
        <w:fldChar w:fldCharType="separate"/>
      </w:r>
      <w:r>
        <w:rPr>
          <w:rStyle w:val="style85"/>
          <w:rFonts w:ascii="Century Gothic" w:hAnsi="Century Gothic"/>
          <w:noProof/>
          <w:sz w:val="20"/>
          <w:szCs w:val="20"/>
        </w:rPr>
        <w:t>4.1. Espace de conservation de Kaya</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_Toc82046072 \h </w:instrText>
      </w:r>
      <w:r>
        <w:rPr>
          <w:rFonts w:ascii="Century Gothic" w:hAnsi="Century Gothic"/>
          <w:noProof/>
          <w:webHidden/>
          <w:sz w:val="20"/>
          <w:szCs w:val="20"/>
        </w:rPr>
        <w:fldChar w:fldCharType="separate"/>
      </w:r>
      <w:r>
        <w:rPr>
          <w:rFonts w:ascii="Century Gothic" w:hAnsi="Century Gothic"/>
          <w:noProof/>
          <w:webHidden/>
          <w:sz w:val="20"/>
          <w:szCs w:val="20"/>
        </w:rPr>
        <w:t>12</w:t>
      </w:r>
      <w:r>
        <w:rPr>
          <w:rFonts w:ascii="Century Gothic" w:hAnsi="Century Gothic"/>
          <w:noProof/>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"_Toc82046073" </w:instrText>
      </w:r>
      <w:r>
        <w:rPr/>
        <w:fldChar w:fldCharType="separate"/>
      </w:r>
      <w:r>
        <w:rPr>
          <w:rStyle w:val="style85"/>
          <w:rFonts w:ascii="Century Gothic" w:hAnsi="Century Gothic"/>
          <w:noProof/>
          <w:sz w:val="20"/>
          <w:szCs w:val="20"/>
        </w:rPr>
        <w:t>4.1.1. Description de la forêt villageoise de Kaya</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_Toc82046073 \h </w:instrText>
      </w:r>
      <w:r>
        <w:rPr>
          <w:rFonts w:ascii="Century Gothic" w:hAnsi="Century Gothic"/>
          <w:noProof/>
          <w:webHidden/>
          <w:sz w:val="20"/>
          <w:szCs w:val="20"/>
        </w:rPr>
        <w:fldChar w:fldCharType="separate"/>
      </w:r>
      <w:r>
        <w:rPr>
          <w:rFonts w:ascii="Century Gothic" w:hAnsi="Century Gothic"/>
          <w:noProof/>
          <w:webHidden/>
          <w:sz w:val="20"/>
          <w:szCs w:val="20"/>
        </w:rPr>
        <w:t>12</w:t>
      </w:r>
      <w:r>
        <w:rPr>
          <w:rFonts w:ascii="Century Gothic" w:hAnsi="Century Gothic"/>
          <w:noProof/>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"_Toc82046074" </w:instrText>
      </w:r>
      <w:r>
        <w:rPr/>
        <w:fldChar w:fldCharType="separate"/>
      </w:r>
      <w:r>
        <w:rPr>
          <w:rStyle w:val="style85"/>
          <w:rFonts w:ascii="Century Gothic" w:hAnsi="Century Gothic"/>
          <w:noProof/>
          <w:sz w:val="20"/>
          <w:szCs w:val="20"/>
        </w:rPr>
        <w:t>4.1.2. Description détaillée des activités du PDIC REDD + de l’espace de conservation de Kaya</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_Toc82046074 \h </w:instrText>
      </w:r>
      <w:r>
        <w:rPr>
          <w:rFonts w:ascii="Century Gothic" w:hAnsi="Century Gothic"/>
          <w:noProof/>
          <w:webHidden/>
          <w:sz w:val="20"/>
          <w:szCs w:val="20"/>
        </w:rPr>
        <w:fldChar w:fldCharType="separate"/>
      </w:r>
      <w:r>
        <w:rPr>
          <w:rFonts w:ascii="Century Gothic" w:hAnsi="Century Gothic"/>
          <w:noProof/>
          <w:webHidden/>
          <w:sz w:val="20"/>
          <w:szCs w:val="20"/>
        </w:rPr>
        <w:t>13</w:t>
      </w:r>
      <w:r>
        <w:rPr>
          <w:rFonts w:ascii="Century Gothic" w:hAnsi="Century Gothic"/>
          <w:noProof/>
          <w:webHidden/>
          <w:sz w:val="20"/>
          <w:szCs w:val="20"/>
        </w:rPr>
        <w:fldChar w:fldCharType="end"/>
      </w:r>
      <w:r>
        <w:rPr/>
        <w:fldChar w:fldCharType="end"/>
      </w:r>
    </w:p>
    <w:p>
      <w:pPr>
        <w:pStyle w:val="style21"/>
        <w:tabs>
          <w:tab w:val="right" w:leader="dot" w:pos="9642"/>
        </w:tabs>
        <w:ind w:left="0"/>
        <w:rPr>
          <w:rFonts w:ascii="Century Gothic" w:cs="宋体" w:eastAsia="宋体" w:hAnsi="Century Gothic"/>
          <w:noProof/>
          <w:sz w:val="20"/>
          <w:szCs w:val="20"/>
        </w:rPr>
      </w:pPr>
      <w:r>
        <w:rPr/>
        <w:fldChar w:fldCharType="begin"/>
      </w:r>
      <w:r>
        <w:instrText xml:space="preserve"> HYPERLINK \l "_Toc82046075" </w:instrText>
      </w:r>
      <w:r>
        <w:rPr/>
        <w:fldChar w:fldCharType="separate"/>
      </w:r>
      <w:r>
        <w:rPr>
          <w:rStyle w:val="style85"/>
          <w:rFonts w:ascii="Century Gothic" w:hAnsi="Century Gothic"/>
          <w:noProof/>
          <w:sz w:val="20"/>
          <w:szCs w:val="20"/>
        </w:rPr>
        <w:t>4.1.2.1. Activités directement liées à la réduction des émissions de gaz à effet de serre</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_Toc82046075 \h </w:instrText>
      </w:r>
      <w:r>
        <w:rPr>
          <w:rFonts w:ascii="Century Gothic" w:hAnsi="Century Gothic"/>
          <w:noProof/>
          <w:webHidden/>
          <w:sz w:val="20"/>
          <w:szCs w:val="20"/>
        </w:rPr>
        <w:fldChar w:fldCharType="separate"/>
      </w:r>
      <w:r>
        <w:rPr>
          <w:rFonts w:ascii="Century Gothic" w:hAnsi="Century Gothic"/>
          <w:noProof/>
          <w:webHidden/>
          <w:sz w:val="20"/>
          <w:szCs w:val="20"/>
        </w:rPr>
        <w:t>13</w:t>
      </w:r>
      <w:r>
        <w:rPr>
          <w:rFonts w:ascii="Century Gothic" w:hAnsi="Century Gothic"/>
          <w:noProof/>
          <w:webHidden/>
          <w:sz w:val="20"/>
          <w:szCs w:val="20"/>
        </w:rPr>
        <w:fldChar w:fldCharType="end"/>
      </w:r>
      <w:r>
        <w:rPr/>
        <w:fldChar w:fldCharType="end"/>
      </w:r>
    </w:p>
    <w:p>
      <w:pPr>
        <w:pStyle w:val="style21"/>
        <w:tabs>
          <w:tab w:val="right" w:leader="dot" w:pos="9642"/>
        </w:tabs>
        <w:ind w:left="0"/>
        <w:rPr>
          <w:rFonts w:ascii="Century Gothic" w:cs="宋体" w:eastAsia="宋体" w:hAnsi="Century Gothic"/>
          <w:noProof/>
          <w:sz w:val="20"/>
          <w:szCs w:val="20"/>
        </w:rPr>
      </w:pPr>
      <w:r>
        <w:rPr/>
        <w:fldChar w:fldCharType="begin"/>
      </w:r>
      <w:r>
        <w:instrText xml:space="preserve"> HYPERLINK \l "_Toc82046076" </w:instrText>
      </w:r>
      <w:r>
        <w:rPr/>
        <w:fldChar w:fldCharType="separate"/>
      </w:r>
      <w:r>
        <w:rPr>
          <w:rStyle w:val="style85"/>
          <w:rFonts w:ascii="Century Gothic" w:hAnsi="Century Gothic"/>
          <w:noProof/>
          <w:sz w:val="20"/>
          <w:szCs w:val="20"/>
        </w:rPr>
        <w:t>4.1.2.2 Activités induites d’amélioration des productivités et des revenus dans l’espace de conservation de Kaya</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_Toc82046076 \h </w:instrText>
      </w:r>
      <w:r>
        <w:rPr>
          <w:rFonts w:ascii="Century Gothic" w:hAnsi="Century Gothic"/>
          <w:noProof/>
          <w:webHidden/>
          <w:sz w:val="20"/>
          <w:szCs w:val="20"/>
        </w:rPr>
        <w:fldChar w:fldCharType="separate"/>
      </w:r>
      <w:r>
        <w:rPr>
          <w:rFonts w:ascii="Century Gothic" w:hAnsi="Century Gothic"/>
          <w:noProof/>
          <w:webHidden/>
          <w:sz w:val="20"/>
          <w:szCs w:val="20"/>
        </w:rPr>
        <w:t>17</w:t>
      </w:r>
      <w:r>
        <w:rPr>
          <w:rFonts w:ascii="Century Gothic" w:hAnsi="Century Gothic"/>
          <w:noProof/>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"_Toc82046077" </w:instrText>
      </w:r>
      <w:r>
        <w:rPr/>
        <w:fldChar w:fldCharType="separate"/>
      </w:r>
      <w:r>
        <w:rPr>
          <w:rStyle w:val="style85"/>
          <w:rFonts w:ascii="Century Gothic" w:hAnsi="Century Gothic"/>
          <w:noProof/>
          <w:sz w:val="20"/>
          <w:szCs w:val="20"/>
        </w:rPr>
        <w:t>4.2. Espace de conservation  Tangassogo</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_Toc82046077 \h </w:instrText>
      </w:r>
      <w:r>
        <w:rPr>
          <w:rFonts w:ascii="Century Gothic" w:hAnsi="Century Gothic"/>
          <w:noProof/>
          <w:webHidden/>
          <w:sz w:val="20"/>
          <w:szCs w:val="20"/>
        </w:rPr>
        <w:fldChar w:fldCharType="separate"/>
      </w:r>
      <w:r>
        <w:rPr>
          <w:rFonts w:ascii="Century Gothic" w:hAnsi="Century Gothic"/>
          <w:noProof/>
          <w:webHidden/>
          <w:sz w:val="20"/>
          <w:szCs w:val="20"/>
        </w:rPr>
        <w:t>22</w:t>
      </w:r>
      <w:r>
        <w:rPr>
          <w:rFonts w:ascii="Century Gothic" w:hAnsi="Century Gothic"/>
          <w:noProof/>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"_Toc82046078" </w:instrText>
      </w:r>
      <w:r>
        <w:rPr/>
        <w:fldChar w:fldCharType="separate"/>
      </w:r>
      <w:r>
        <w:rPr>
          <w:rStyle w:val="style85"/>
          <w:rFonts w:ascii="Century Gothic" w:hAnsi="Century Gothic"/>
          <w:noProof/>
          <w:sz w:val="20"/>
          <w:szCs w:val="20"/>
        </w:rPr>
        <w:t>4.2.1. Description de l’espace de conservation Tangassogo</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_Toc82046078 \h </w:instrText>
      </w:r>
      <w:r>
        <w:rPr>
          <w:rFonts w:ascii="Century Gothic" w:hAnsi="Century Gothic"/>
          <w:noProof/>
          <w:webHidden/>
          <w:sz w:val="20"/>
          <w:szCs w:val="20"/>
        </w:rPr>
        <w:fldChar w:fldCharType="separate"/>
      </w:r>
      <w:r>
        <w:rPr>
          <w:rFonts w:ascii="Century Gothic" w:hAnsi="Century Gothic"/>
          <w:noProof/>
          <w:webHidden/>
          <w:sz w:val="20"/>
          <w:szCs w:val="20"/>
        </w:rPr>
        <w:t>22</w:t>
      </w:r>
      <w:r>
        <w:rPr>
          <w:rFonts w:ascii="Century Gothic" w:hAnsi="Century Gothic"/>
          <w:noProof/>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"_Toc82046079" </w:instrText>
      </w:r>
      <w:r>
        <w:rPr/>
        <w:fldChar w:fldCharType="separate"/>
      </w:r>
      <w:r>
        <w:rPr>
          <w:rStyle w:val="style85"/>
          <w:rFonts w:ascii="Century Gothic" w:hAnsi="Century Gothic"/>
          <w:noProof/>
          <w:sz w:val="20"/>
          <w:szCs w:val="20"/>
        </w:rPr>
        <w:t>4.2.2. Description détaillée des activités du PDIC REDD + de l’espace de conservation Tangassogo</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_Toc82046079 \h </w:instrText>
      </w:r>
      <w:r>
        <w:rPr>
          <w:rFonts w:ascii="Century Gothic" w:hAnsi="Century Gothic"/>
          <w:noProof/>
          <w:webHidden/>
          <w:sz w:val="20"/>
          <w:szCs w:val="20"/>
        </w:rPr>
        <w:fldChar w:fldCharType="separate"/>
      </w:r>
      <w:r>
        <w:rPr>
          <w:rFonts w:ascii="Century Gothic" w:hAnsi="Century Gothic"/>
          <w:noProof/>
          <w:webHidden/>
          <w:sz w:val="20"/>
          <w:szCs w:val="20"/>
        </w:rPr>
        <w:t>23</w:t>
      </w:r>
      <w:r>
        <w:rPr>
          <w:rFonts w:ascii="Century Gothic" w:hAnsi="Century Gothic"/>
          <w:noProof/>
          <w:webHidden/>
          <w:sz w:val="20"/>
          <w:szCs w:val="20"/>
        </w:rPr>
        <w:fldChar w:fldCharType="end"/>
      </w:r>
      <w:r>
        <w:rPr/>
        <w:fldChar w:fldCharType="end"/>
      </w:r>
    </w:p>
    <w:p>
      <w:pPr>
        <w:pStyle w:val="style21"/>
        <w:tabs>
          <w:tab w:val="right" w:leader="dot" w:pos="9642"/>
        </w:tabs>
        <w:ind w:left="0"/>
        <w:rPr>
          <w:rFonts w:ascii="Century Gothic" w:cs="宋体" w:eastAsia="宋体" w:hAnsi="Century Gothic"/>
          <w:noProof/>
          <w:sz w:val="20"/>
          <w:szCs w:val="20"/>
        </w:rPr>
      </w:pPr>
      <w:r>
        <w:rPr/>
        <w:fldChar w:fldCharType="begin"/>
      </w:r>
      <w:r>
        <w:instrText xml:space="preserve"> HYPERLINK \l "_Toc82046080" </w:instrText>
      </w:r>
      <w:r>
        <w:rPr/>
        <w:fldChar w:fldCharType="separate"/>
      </w:r>
      <w:r>
        <w:rPr>
          <w:rStyle w:val="style85"/>
          <w:rFonts w:ascii="Century Gothic" w:hAnsi="Century Gothic"/>
          <w:noProof/>
          <w:sz w:val="20"/>
          <w:szCs w:val="20"/>
        </w:rPr>
        <w:t>4.2.2.1. Activités directement liées à la réduction des émissions de gaz à effet de serre</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_Toc82046080 \h </w:instrText>
      </w:r>
      <w:r>
        <w:rPr>
          <w:rFonts w:ascii="Century Gothic" w:hAnsi="Century Gothic"/>
          <w:noProof/>
          <w:webHidden/>
          <w:sz w:val="20"/>
          <w:szCs w:val="20"/>
        </w:rPr>
        <w:fldChar w:fldCharType="separate"/>
      </w:r>
      <w:r>
        <w:rPr>
          <w:rFonts w:ascii="Century Gothic" w:hAnsi="Century Gothic"/>
          <w:noProof/>
          <w:webHidden/>
          <w:sz w:val="20"/>
          <w:szCs w:val="20"/>
        </w:rPr>
        <w:t>23</w:t>
      </w:r>
      <w:r>
        <w:rPr>
          <w:rFonts w:ascii="Century Gothic" w:hAnsi="Century Gothic"/>
          <w:noProof/>
          <w:webHidden/>
          <w:sz w:val="20"/>
          <w:szCs w:val="20"/>
        </w:rPr>
        <w:fldChar w:fldCharType="end"/>
      </w:r>
      <w:r>
        <w:rPr/>
        <w:fldChar w:fldCharType="end"/>
      </w:r>
    </w:p>
    <w:p>
      <w:pPr>
        <w:pStyle w:val="style21"/>
        <w:tabs>
          <w:tab w:val="right" w:leader="dot" w:pos="9642"/>
        </w:tabs>
        <w:ind w:left="0"/>
        <w:rPr>
          <w:rFonts w:ascii="Century Gothic" w:cs="宋体" w:eastAsia="宋体" w:hAnsi="Century Gothic"/>
          <w:noProof/>
          <w:sz w:val="20"/>
          <w:szCs w:val="20"/>
        </w:rPr>
      </w:pPr>
      <w:r>
        <w:rPr/>
        <w:fldChar w:fldCharType="begin"/>
      </w:r>
      <w:r>
        <w:instrText xml:space="preserve"> HYPERLINK \l "_Toc82046081" </w:instrText>
      </w:r>
      <w:r>
        <w:rPr/>
        <w:fldChar w:fldCharType="separate"/>
      </w:r>
      <w:r>
        <w:rPr>
          <w:rStyle w:val="style85"/>
          <w:rFonts w:ascii="Century Gothic" w:hAnsi="Century Gothic"/>
          <w:noProof/>
          <w:sz w:val="20"/>
          <w:szCs w:val="20"/>
        </w:rPr>
        <w:t>4.2.2.2 Activités induites d’amélioration des productivités et des revenus dans l’espace de conservation de Tangassogo</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_Toc82046081 \h </w:instrText>
      </w:r>
      <w:r>
        <w:rPr>
          <w:rFonts w:ascii="Century Gothic" w:hAnsi="Century Gothic"/>
          <w:noProof/>
          <w:webHidden/>
          <w:sz w:val="20"/>
          <w:szCs w:val="20"/>
        </w:rPr>
        <w:fldChar w:fldCharType="separate"/>
      </w:r>
      <w:r>
        <w:rPr>
          <w:rFonts w:ascii="Century Gothic" w:hAnsi="Century Gothic"/>
          <w:noProof/>
          <w:webHidden/>
          <w:sz w:val="20"/>
          <w:szCs w:val="20"/>
        </w:rPr>
        <w:t>26</w:t>
      </w:r>
      <w:r>
        <w:rPr>
          <w:rFonts w:ascii="Century Gothic" w:hAnsi="Century Gothic"/>
          <w:noProof/>
          <w:webHidden/>
          <w:sz w:val="20"/>
          <w:szCs w:val="20"/>
        </w:rPr>
        <w:fldChar w:fldCharType="end"/>
      </w:r>
      <w:r>
        <w:rPr/>
        <w:fldChar w:fldCharType="end"/>
      </w:r>
    </w:p>
    <w:p>
      <w:pPr>
        <w:pStyle w:val="style21"/>
        <w:tabs>
          <w:tab w:val="right" w:leader="dot" w:pos="9642"/>
        </w:tabs>
        <w:ind w:left="0"/>
        <w:rPr>
          <w:rFonts w:ascii="Century Gothic" w:cs="宋体" w:eastAsia="宋体" w:hAnsi="Century Gothic"/>
          <w:noProof/>
          <w:sz w:val="20"/>
          <w:szCs w:val="20"/>
        </w:rPr>
      </w:pPr>
      <w:r>
        <w:rPr/>
        <w:fldChar w:fldCharType="begin"/>
      </w:r>
      <w:r>
        <w:instrText xml:space="preserve"> HYPERLINK \l "_Toc82046082" </w:instrText>
      </w:r>
      <w:r>
        <w:rPr/>
        <w:fldChar w:fldCharType="separate"/>
      </w:r>
      <w:r>
        <w:rPr>
          <w:rStyle w:val="style85"/>
          <w:rFonts w:ascii="Century Gothic" w:hAnsi="Century Gothic"/>
          <w:noProof/>
          <w:sz w:val="20"/>
          <w:szCs w:val="20"/>
        </w:rPr>
        <w:t xml:space="preserve">4.4. Le suivi évaluation et la capitalisation du </w:t>
      </w:r>
      <w:r>
        <w:rPr>
          <w:rStyle w:val="style85"/>
          <w:rFonts w:ascii="Century Gothic" w:cs="Arial" w:hAnsi="Century Gothic"/>
          <w:noProof/>
          <w:sz w:val="20"/>
          <w:szCs w:val="20"/>
        </w:rPr>
        <w:t>PDIC/REDD+ de Tiébélé</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_Toc82046082 \h </w:instrText>
      </w:r>
      <w:r>
        <w:rPr>
          <w:rFonts w:ascii="Century Gothic" w:hAnsi="Century Gothic"/>
          <w:noProof/>
          <w:webHidden/>
          <w:sz w:val="20"/>
          <w:szCs w:val="20"/>
        </w:rPr>
        <w:fldChar w:fldCharType="separate"/>
      </w:r>
      <w:r>
        <w:rPr>
          <w:rFonts w:ascii="Century Gothic" w:hAnsi="Century Gothic"/>
          <w:noProof/>
          <w:webHidden/>
          <w:sz w:val="20"/>
          <w:szCs w:val="20"/>
        </w:rPr>
        <w:t>31</w:t>
      </w:r>
      <w:r>
        <w:rPr>
          <w:rFonts w:ascii="Century Gothic" w:hAnsi="Century Gothic"/>
          <w:noProof/>
          <w:webHidden/>
          <w:sz w:val="20"/>
          <w:szCs w:val="20"/>
        </w:rPr>
        <w:fldChar w:fldCharType="end"/>
      </w:r>
      <w:r>
        <w:rPr/>
        <w:fldChar w:fldCharType="end"/>
      </w:r>
    </w:p>
    <w:p>
      <w:pPr>
        <w:pStyle w:val="style19"/>
        <w:rPr>
          <w:rFonts w:cs="宋体" w:eastAsia="宋体"/>
          <w:sz w:val="20"/>
          <w:szCs w:val="20"/>
        </w:rPr>
      </w:pPr>
      <w:r>
        <w:rPr/>
        <w:fldChar w:fldCharType="begin"/>
      </w:r>
      <w:r>
        <w:instrText xml:space="preserve"> HYPERLINK \l "_Toc82046083" </w:instrText>
      </w:r>
      <w:r>
        <w:rPr/>
        <w:fldChar w:fldCharType="separate"/>
      </w:r>
      <w:r>
        <w:rPr>
          <w:rStyle w:val="style85"/>
          <w:sz w:val="20"/>
          <w:szCs w:val="20"/>
        </w:rPr>
        <w:t>4.5. Budget détaillé du PDIC REDD+</w:t>
      </w:r>
      <w:r>
        <w:rPr>
          <w:webHidden/>
          <w:sz w:val="20"/>
          <w:szCs w:val="20"/>
        </w:rPr>
        <w:tab/>
      </w:r>
      <w:r>
        <w:rPr>
          <w:webHidden/>
          <w:sz w:val="20"/>
          <w:szCs w:val="20"/>
        </w:rPr>
        <w:fldChar w:fldCharType="begin"/>
      </w:r>
      <w:r>
        <w:rPr>
          <w:webHidden/>
          <w:sz w:val="20"/>
          <w:szCs w:val="20"/>
        </w:rPr>
        <w:instrText xml:space="preserve"> PAGEREF _Toc82046083 \h </w:instrText>
      </w:r>
      <w:r>
        <w:rPr>
          <w:webHidden/>
          <w:sz w:val="20"/>
          <w:szCs w:val="20"/>
        </w:rPr>
        <w:fldChar w:fldCharType="separate"/>
      </w:r>
      <w:r>
        <w:rPr>
          <w:webHidden/>
          <w:sz w:val="20"/>
          <w:szCs w:val="20"/>
        </w:rPr>
        <w:t>32</w:t>
      </w:r>
      <w:r>
        <w:rPr>
          <w:webHidden/>
          <w:sz w:val="20"/>
          <w:szCs w:val="20"/>
        </w:rPr>
        <w:fldChar w:fldCharType="end"/>
      </w:r>
      <w:r>
        <w:rPr/>
        <w:fldChar w:fldCharType="end"/>
      </w:r>
    </w:p>
    <w:p>
      <w:pPr>
        <w:pStyle w:val="style21"/>
        <w:tabs>
          <w:tab w:val="right" w:leader="dot" w:pos="9642"/>
        </w:tabs>
        <w:ind w:left="0"/>
        <w:rPr>
          <w:rFonts w:ascii="Century Gothic" w:cs="宋体" w:eastAsia="宋体" w:hAnsi="Century Gothic"/>
          <w:noProof/>
          <w:sz w:val="20"/>
          <w:szCs w:val="20"/>
        </w:rPr>
      </w:pPr>
      <w:r>
        <w:rPr/>
        <w:fldChar w:fldCharType="begin"/>
      </w:r>
      <w:r>
        <w:instrText xml:space="preserve"> HYPERLINK \l "_Toc82046084" </w:instrText>
      </w:r>
      <w:r>
        <w:rPr/>
        <w:fldChar w:fldCharType="separate"/>
      </w:r>
      <w:r>
        <w:rPr>
          <w:rStyle w:val="style85"/>
          <w:rFonts w:ascii="Century Gothic" w:hAnsi="Century Gothic"/>
          <w:noProof/>
          <w:sz w:val="20"/>
          <w:szCs w:val="20"/>
        </w:rPr>
        <w:t>4.6. Cadre logique du PDIC REDD+</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_Toc82046084 \h </w:instrText>
      </w:r>
      <w:r>
        <w:rPr>
          <w:rFonts w:ascii="Century Gothic" w:hAnsi="Century Gothic"/>
          <w:noProof/>
          <w:webHidden/>
          <w:sz w:val="20"/>
          <w:szCs w:val="20"/>
        </w:rPr>
        <w:fldChar w:fldCharType="separate"/>
      </w:r>
      <w:r>
        <w:rPr>
          <w:rFonts w:ascii="Century Gothic" w:hAnsi="Century Gothic"/>
          <w:noProof/>
          <w:webHidden/>
          <w:sz w:val="20"/>
          <w:szCs w:val="20"/>
        </w:rPr>
        <w:t>43</w:t>
      </w:r>
      <w:r>
        <w:rPr>
          <w:rFonts w:ascii="Century Gothic" w:hAnsi="Century Gothic"/>
          <w:noProof/>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"_Toc82046085" </w:instrText>
      </w:r>
      <w:r>
        <w:rPr/>
        <w:fldChar w:fldCharType="separate"/>
      </w:r>
      <w:r>
        <w:rPr>
          <w:rStyle w:val="style85"/>
          <w:rFonts w:ascii="Century Gothic" w:hAnsi="Century Gothic"/>
          <w:noProof/>
          <w:sz w:val="20"/>
          <w:szCs w:val="20"/>
        </w:rPr>
        <w:t>4.7 Synthèse des activités par espace de conservation</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_Toc82046085 \h </w:instrText>
      </w:r>
      <w:r>
        <w:rPr>
          <w:rFonts w:ascii="Century Gothic" w:hAnsi="Century Gothic"/>
          <w:noProof/>
          <w:webHidden/>
          <w:sz w:val="20"/>
          <w:szCs w:val="20"/>
        </w:rPr>
        <w:fldChar w:fldCharType="separate"/>
      </w:r>
      <w:r>
        <w:rPr>
          <w:rFonts w:ascii="Century Gothic" w:hAnsi="Century Gothic"/>
          <w:noProof/>
          <w:webHidden/>
          <w:sz w:val="20"/>
          <w:szCs w:val="20"/>
        </w:rPr>
        <w:t>49</w:t>
      </w:r>
      <w:r>
        <w:rPr>
          <w:rFonts w:ascii="Century Gothic" w:hAnsi="Century Gothic"/>
          <w:noProof/>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"_Toc82046086" </w:instrText>
      </w:r>
      <w:r>
        <w:rPr/>
        <w:fldChar w:fldCharType="separate"/>
      </w:r>
      <w:r>
        <w:rPr>
          <w:rStyle w:val="style85"/>
          <w:rFonts w:ascii="Century Gothic" w:hAnsi="Century Gothic"/>
          <w:noProof/>
          <w:sz w:val="20"/>
          <w:szCs w:val="20"/>
        </w:rPr>
        <w:t>4.8. Carte de localisation des investissements du PDIC/ REDD +  par site</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_Toc82046086 \h </w:instrText>
      </w:r>
      <w:r>
        <w:rPr>
          <w:rFonts w:ascii="Century Gothic" w:hAnsi="Century Gothic"/>
          <w:noProof/>
          <w:webHidden/>
          <w:sz w:val="20"/>
          <w:szCs w:val="20"/>
        </w:rPr>
        <w:fldChar w:fldCharType="separate"/>
      </w:r>
      <w:r>
        <w:rPr>
          <w:rFonts w:ascii="Century Gothic" w:hAnsi="Century Gothic"/>
          <w:noProof/>
          <w:webHidden/>
          <w:sz w:val="20"/>
          <w:szCs w:val="20"/>
        </w:rPr>
        <w:t>53</w:t>
      </w:r>
      <w:r>
        <w:rPr>
          <w:rFonts w:ascii="Century Gothic" w:hAnsi="Century Gothic"/>
          <w:noProof/>
          <w:webHidden/>
          <w:sz w:val="20"/>
          <w:szCs w:val="20"/>
        </w:rPr>
        <w:fldChar w:fldCharType="end"/>
      </w:r>
      <w:r>
        <w:rPr/>
        <w:fldChar w:fldCharType="end"/>
      </w:r>
    </w:p>
    <w:p>
      <w:pPr>
        <w:pStyle w:val="style19"/>
        <w:rPr>
          <w:rFonts w:cs="宋体" w:eastAsia="宋体"/>
          <w:sz w:val="20"/>
          <w:szCs w:val="20"/>
        </w:rPr>
      </w:pPr>
      <w:r>
        <w:rPr/>
        <w:fldChar w:fldCharType="begin"/>
      </w:r>
      <w:r>
        <w:instrText xml:space="preserve"> HYPERLINK \l "_Toc82046087" </w:instrText>
      </w:r>
      <w:r>
        <w:rPr/>
        <w:fldChar w:fldCharType="separate"/>
      </w:r>
      <w:r>
        <w:rPr>
          <w:rStyle w:val="style85"/>
          <w:sz w:val="20"/>
          <w:szCs w:val="20"/>
        </w:rPr>
        <w:t>V. Résultats attendus</w:t>
      </w:r>
      <w:r>
        <w:rPr>
          <w:webHidden/>
          <w:sz w:val="20"/>
          <w:szCs w:val="20"/>
        </w:rPr>
        <w:tab/>
      </w:r>
      <w:r>
        <w:rPr>
          <w:webHidden/>
          <w:sz w:val="20"/>
          <w:szCs w:val="20"/>
        </w:rPr>
        <w:fldChar w:fldCharType="begin"/>
      </w:r>
      <w:r>
        <w:rPr>
          <w:webHidden/>
          <w:sz w:val="20"/>
          <w:szCs w:val="20"/>
        </w:rPr>
        <w:instrText xml:space="preserve"> PAGEREF _Toc82046087 \h </w:instrText>
      </w:r>
      <w:r>
        <w:rPr>
          <w:webHidden/>
          <w:sz w:val="20"/>
          <w:szCs w:val="20"/>
        </w:rPr>
        <w:fldChar w:fldCharType="separate"/>
      </w:r>
      <w:r>
        <w:rPr>
          <w:webHidden/>
          <w:sz w:val="20"/>
          <w:szCs w:val="20"/>
        </w:rPr>
        <w:t>55</w:t>
      </w:r>
      <w:r>
        <w:rPr>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"_Toc82046088" </w:instrText>
      </w:r>
      <w:r>
        <w:rPr/>
        <w:fldChar w:fldCharType="separate"/>
      </w:r>
      <w:r>
        <w:rPr>
          <w:rStyle w:val="style85"/>
          <w:rFonts w:ascii="Century Gothic" w:hAnsi="Century Gothic"/>
          <w:noProof/>
          <w:sz w:val="20"/>
          <w:szCs w:val="20"/>
        </w:rPr>
        <w:t>5.1  Résultats attendus en termes de bénéficiaires (directs et indirects) impactés par chacune des activités du PDIC REDD+</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_Toc82046088 \h </w:instrText>
      </w:r>
      <w:r>
        <w:rPr>
          <w:rFonts w:ascii="Century Gothic" w:hAnsi="Century Gothic"/>
          <w:noProof/>
          <w:webHidden/>
          <w:sz w:val="20"/>
          <w:szCs w:val="20"/>
        </w:rPr>
        <w:fldChar w:fldCharType="separate"/>
      </w:r>
      <w:r>
        <w:rPr>
          <w:rFonts w:ascii="Century Gothic" w:hAnsi="Century Gothic"/>
          <w:noProof/>
          <w:webHidden/>
          <w:sz w:val="20"/>
          <w:szCs w:val="20"/>
        </w:rPr>
        <w:t>55</w:t>
      </w:r>
      <w:r>
        <w:rPr>
          <w:rFonts w:ascii="Century Gothic" w:hAnsi="Century Gothic"/>
          <w:noProof/>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"_Toc82046089" </w:instrText>
      </w:r>
      <w:r>
        <w:rPr/>
        <w:fldChar w:fldCharType="separate"/>
      </w:r>
      <w:r>
        <w:rPr>
          <w:rStyle w:val="style85"/>
          <w:rFonts w:ascii="Century Gothic" w:hAnsi="Century Gothic"/>
          <w:noProof/>
          <w:sz w:val="20"/>
          <w:szCs w:val="20"/>
        </w:rPr>
        <w:t>5.2 Résultats attendus en termes de séquestration de carbone pour chacune des activités du PDIC</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_Toc82046089 \h </w:instrText>
      </w:r>
      <w:r>
        <w:rPr>
          <w:rFonts w:ascii="Century Gothic" w:hAnsi="Century Gothic"/>
          <w:noProof/>
          <w:webHidden/>
          <w:sz w:val="20"/>
          <w:szCs w:val="20"/>
        </w:rPr>
        <w:fldChar w:fldCharType="separate"/>
      </w:r>
      <w:r>
        <w:rPr>
          <w:rFonts w:ascii="Century Gothic" w:hAnsi="Century Gothic"/>
          <w:noProof/>
          <w:webHidden/>
          <w:sz w:val="20"/>
          <w:szCs w:val="20"/>
        </w:rPr>
        <w:t>59</w:t>
      </w:r>
      <w:r>
        <w:rPr>
          <w:rFonts w:ascii="Century Gothic" w:hAnsi="Century Gothic"/>
          <w:noProof/>
          <w:webHidden/>
          <w:sz w:val="20"/>
          <w:szCs w:val="20"/>
        </w:rPr>
        <w:fldChar w:fldCharType="end"/>
      </w:r>
      <w:r>
        <w:rPr/>
        <w:fldChar w:fldCharType="end"/>
      </w:r>
    </w:p>
    <w:p>
      <w:pPr>
        <w:pStyle w:val="style19"/>
        <w:rPr>
          <w:rFonts w:cs="宋体" w:eastAsia="宋体"/>
          <w:sz w:val="20"/>
          <w:szCs w:val="20"/>
        </w:rPr>
      </w:pPr>
      <w:r>
        <w:rPr/>
        <w:fldChar w:fldCharType="begin"/>
      </w:r>
      <w:r>
        <w:instrText xml:space="preserve"> HYPERLINK \l "_Toc82046090" </w:instrText>
      </w:r>
      <w:r>
        <w:rPr/>
        <w:fldChar w:fldCharType="separate"/>
      </w:r>
      <w:r>
        <w:rPr>
          <w:rStyle w:val="style85"/>
          <w:sz w:val="20"/>
          <w:szCs w:val="20"/>
        </w:rPr>
        <w:t>5.3  résultats attendus en termes de co-bénéfices</w:t>
      </w:r>
      <w:r>
        <w:rPr>
          <w:webHidden/>
          <w:sz w:val="20"/>
          <w:szCs w:val="20"/>
        </w:rPr>
        <w:tab/>
      </w:r>
      <w:r>
        <w:rPr>
          <w:webHidden/>
          <w:sz w:val="20"/>
          <w:szCs w:val="20"/>
        </w:rPr>
        <w:fldChar w:fldCharType="begin"/>
      </w:r>
      <w:r>
        <w:rPr>
          <w:webHidden/>
          <w:sz w:val="20"/>
          <w:szCs w:val="20"/>
        </w:rPr>
        <w:instrText xml:space="preserve"> PAGEREF _Toc82046090 \h </w:instrText>
      </w:r>
      <w:r>
        <w:rPr>
          <w:webHidden/>
          <w:sz w:val="20"/>
          <w:szCs w:val="20"/>
        </w:rPr>
        <w:fldChar w:fldCharType="separate"/>
      </w:r>
      <w:r>
        <w:rPr>
          <w:webHidden/>
          <w:sz w:val="20"/>
          <w:szCs w:val="20"/>
        </w:rPr>
        <w:t>62</w:t>
      </w:r>
      <w:r>
        <w:rPr>
          <w:webHidden/>
          <w:sz w:val="20"/>
          <w:szCs w:val="20"/>
        </w:rPr>
        <w:fldChar w:fldCharType="end"/>
      </w:r>
      <w:r>
        <w:rPr/>
        <w:fldChar w:fldCharType="end"/>
      </w:r>
    </w:p>
    <w:p>
      <w:pPr>
        <w:pStyle w:val="style21"/>
        <w:tabs>
          <w:tab w:val="right" w:leader="dot" w:pos="9642"/>
        </w:tabs>
        <w:ind w:left="0"/>
        <w:rPr>
          <w:rFonts w:ascii="Century Gothic" w:cs="宋体" w:eastAsia="宋体" w:hAnsi="Century Gothic"/>
          <w:noProof/>
          <w:sz w:val="20"/>
          <w:szCs w:val="20"/>
        </w:rPr>
      </w:pPr>
      <w:r>
        <w:rPr/>
        <w:fldChar w:fldCharType="begin"/>
      </w:r>
      <w:r>
        <w:instrText xml:space="preserve"> HYPERLINK \l "_Toc82046091" </w:instrText>
      </w:r>
      <w:r>
        <w:rPr/>
        <w:fldChar w:fldCharType="separate"/>
      </w:r>
      <w:r>
        <w:rPr>
          <w:rStyle w:val="style85"/>
          <w:rFonts w:ascii="Century Gothic" w:hAnsi="Century Gothic"/>
          <w:noProof/>
          <w:sz w:val="20"/>
          <w:szCs w:val="20"/>
        </w:rPr>
        <w:t>5.3.1. Au niveau environnemental</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_Toc82046091 \h </w:instrText>
      </w:r>
      <w:r>
        <w:rPr>
          <w:rFonts w:ascii="Century Gothic" w:hAnsi="Century Gothic"/>
          <w:noProof/>
          <w:webHidden/>
          <w:sz w:val="20"/>
          <w:szCs w:val="20"/>
        </w:rPr>
        <w:fldChar w:fldCharType="separate"/>
      </w:r>
      <w:r>
        <w:rPr>
          <w:rFonts w:ascii="Century Gothic" w:hAnsi="Century Gothic"/>
          <w:noProof/>
          <w:webHidden/>
          <w:sz w:val="20"/>
          <w:szCs w:val="20"/>
        </w:rPr>
        <w:t>62</w:t>
      </w:r>
      <w:r>
        <w:rPr>
          <w:rFonts w:ascii="Century Gothic" w:hAnsi="Century Gothic"/>
          <w:noProof/>
          <w:webHidden/>
          <w:sz w:val="20"/>
          <w:szCs w:val="20"/>
        </w:rPr>
        <w:fldChar w:fldCharType="end"/>
      </w:r>
      <w:r>
        <w:rPr/>
        <w:fldChar w:fldCharType="end"/>
      </w:r>
    </w:p>
    <w:p>
      <w:pPr>
        <w:pStyle w:val="style21"/>
        <w:tabs>
          <w:tab w:val="right" w:leader="dot" w:pos="9642"/>
        </w:tabs>
        <w:ind w:left="0"/>
        <w:rPr>
          <w:rFonts w:ascii="Century Gothic" w:cs="宋体" w:eastAsia="宋体" w:hAnsi="Century Gothic"/>
          <w:noProof/>
          <w:sz w:val="20"/>
          <w:szCs w:val="20"/>
        </w:rPr>
      </w:pPr>
      <w:r>
        <w:rPr/>
        <w:fldChar w:fldCharType="begin"/>
      </w:r>
      <w:r>
        <w:instrText xml:space="preserve"> HYPERLINK \l "_Toc82046092" </w:instrText>
      </w:r>
      <w:r>
        <w:rPr/>
        <w:fldChar w:fldCharType="separate"/>
      </w:r>
      <w:r>
        <w:rPr>
          <w:rStyle w:val="style85"/>
          <w:rFonts w:ascii="Century Gothic" w:hAnsi="Century Gothic"/>
          <w:noProof/>
          <w:sz w:val="20"/>
          <w:szCs w:val="20"/>
        </w:rPr>
        <w:t>5.3.2. Au niveau socioéconomique</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_Toc82046092 \h </w:instrText>
      </w:r>
      <w:r>
        <w:rPr>
          <w:rFonts w:ascii="Century Gothic" w:hAnsi="Century Gothic"/>
          <w:noProof/>
          <w:webHidden/>
          <w:sz w:val="20"/>
          <w:szCs w:val="20"/>
        </w:rPr>
        <w:fldChar w:fldCharType="separate"/>
      </w:r>
      <w:r>
        <w:rPr>
          <w:rFonts w:ascii="Century Gothic" w:hAnsi="Century Gothic"/>
          <w:noProof/>
          <w:webHidden/>
          <w:sz w:val="20"/>
          <w:szCs w:val="20"/>
        </w:rPr>
        <w:t>62</w:t>
      </w:r>
      <w:r>
        <w:rPr>
          <w:rFonts w:ascii="Century Gothic" w:hAnsi="Century Gothic"/>
          <w:noProof/>
          <w:webHidden/>
          <w:sz w:val="20"/>
          <w:szCs w:val="20"/>
        </w:rPr>
        <w:fldChar w:fldCharType="end"/>
      </w:r>
      <w:r>
        <w:rPr/>
        <w:fldChar w:fldCharType="end"/>
      </w:r>
    </w:p>
    <w:p>
      <w:pPr>
        <w:pStyle w:val="style21"/>
        <w:tabs>
          <w:tab w:val="right" w:leader="dot" w:pos="9642"/>
        </w:tabs>
        <w:ind w:left="0"/>
        <w:rPr>
          <w:rFonts w:ascii="Century Gothic" w:cs="宋体" w:eastAsia="宋体" w:hAnsi="Century Gothic"/>
          <w:noProof/>
          <w:sz w:val="20"/>
          <w:szCs w:val="20"/>
        </w:rPr>
      </w:pPr>
      <w:r>
        <w:rPr/>
        <w:fldChar w:fldCharType="begin"/>
      </w:r>
      <w:r>
        <w:instrText xml:space="preserve"> HYPERLINK \l "_Toc82046093" </w:instrText>
      </w:r>
      <w:r>
        <w:rPr/>
        <w:fldChar w:fldCharType="separate"/>
      </w:r>
      <w:r>
        <w:rPr>
          <w:rStyle w:val="style85"/>
          <w:rFonts w:ascii="Century Gothic" w:hAnsi="Century Gothic"/>
          <w:noProof/>
          <w:sz w:val="20"/>
          <w:szCs w:val="20"/>
        </w:rPr>
        <w:t>5.3.3. Au niveau institutionnel</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_Toc82046093 \h </w:instrText>
      </w:r>
      <w:r>
        <w:rPr>
          <w:rFonts w:ascii="Century Gothic" w:hAnsi="Century Gothic"/>
          <w:noProof/>
          <w:webHidden/>
          <w:sz w:val="20"/>
          <w:szCs w:val="20"/>
        </w:rPr>
        <w:fldChar w:fldCharType="separate"/>
      </w:r>
      <w:r>
        <w:rPr>
          <w:rFonts w:ascii="Century Gothic" w:hAnsi="Century Gothic"/>
          <w:noProof/>
          <w:webHidden/>
          <w:sz w:val="20"/>
          <w:szCs w:val="20"/>
        </w:rPr>
        <w:t>63</w:t>
      </w:r>
      <w:r>
        <w:rPr>
          <w:rFonts w:ascii="Century Gothic" w:hAnsi="Century Gothic"/>
          <w:noProof/>
          <w:webHidden/>
          <w:sz w:val="20"/>
          <w:szCs w:val="20"/>
        </w:rPr>
        <w:fldChar w:fldCharType="end"/>
      </w:r>
      <w:r>
        <w:rPr/>
        <w:fldChar w:fldCharType="end"/>
      </w:r>
    </w:p>
    <w:p>
      <w:pPr>
        <w:pStyle w:val="style19"/>
        <w:rPr>
          <w:rFonts w:cs="宋体" w:eastAsia="宋体"/>
          <w:sz w:val="20"/>
          <w:szCs w:val="20"/>
        </w:rPr>
      </w:pPr>
      <w:r>
        <w:rPr/>
        <w:fldChar w:fldCharType="begin"/>
      </w:r>
      <w:r>
        <w:instrText xml:space="preserve"> HYPERLINK \l "_Toc82046094" </w:instrText>
      </w:r>
      <w:r>
        <w:rPr/>
        <w:fldChar w:fldCharType="separate"/>
      </w:r>
      <w:r>
        <w:rPr>
          <w:rStyle w:val="style85"/>
          <w:sz w:val="20"/>
          <w:szCs w:val="20"/>
        </w:rPr>
        <w:t>VI. Principaux risques dans la mise en œuvre des PDIC/REDD+</w:t>
      </w:r>
      <w:r>
        <w:rPr>
          <w:webHidden/>
          <w:sz w:val="20"/>
          <w:szCs w:val="20"/>
        </w:rPr>
        <w:tab/>
      </w:r>
      <w:r>
        <w:rPr>
          <w:webHidden/>
          <w:sz w:val="20"/>
          <w:szCs w:val="20"/>
        </w:rPr>
        <w:fldChar w:fldCharType="begin"/>
      </w:r>
      <w:r>
        <w:rPr>
          <w:webHidden/>
          <w:sz w:val="20"/>
          <w:szCs w:val="20"/>
        </w:rPr>
        <w:instrText xml:space="preserve"> PAGEREF _Toc82046094 \h </w:instrText>
      </w:r>
      <w:r>
        <w:rPr>
          <w:webHidden/>
          <w:sz w:val="20"/>
          <w:szCs w:val="20"/>
        </w:rPr>
        <w:fldChar w:fldCharType="separate"/>
      </w:r>
      <w:r>
        <w:rPr>
          <w:webHidden/>
          <w:sz w:val="20"/>
          <w:szCs w:val="20"/>
        </w:rPr>
        <w:t>63</w:t>
      </w:r>
      <w:r>
        <w:rPr>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"_Toc82046095" </w:instrText>
      </w:r>
      <w:r>
        <w:rPr/>
        <w:fldChar w:fldCharType="separate"/>
      </w:r>
      <w:r>
        <w:rPr>
          <w:rStyle w:val="style85"/>
          <w:rFonts w:ascii="Century Gothic" w:hAnsi="Century Gothic"/>
          <w:noProof/>
          <w:sz w:val="20"/>
          <w:szCs w:val="20"/>
        </w:rPr>
        <w:t>6.1. Au niveau environnemental</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_Toc82046095 \h </w:instrText>
      </w:r>
      <w:r>
        <w:rPr>
          <w:rFonts w:ascii="Century Gothic" w:hAnsi="Century Gothic"/>
          <w:noProof/>
          <w:webHidden/>
          <w:sz w:val="20"/>
          <w:szCs w:val="20"/>
        </w:rPr>
        <w:fldChar w:fldCharType="separate"/>
      </w:r>
      <w:r>
        <w:rPr>
          <w:rFonts w:ascii="Century Gothic" w:hAnsi="Century Gothic"/>
          <w:noProof/>
          <w:webHidden/>
          <w:sz w:val="20"/>
          <w:szCs w:val="20"/>
        </w:rPr>
        <w:t>63</w:t>
      </w:r>
      <w:r>
        <w:rPr>
          <w:rFonts w:ascii="Century Gothic" w:hAnsi="Century Gothic"/>
          <w:noProof/>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"_Toc82046096" </w:instrText>
      </w:r>
      <w:r>
        <w:rPr/>
        <w:fldChar w:fldCharType="separate"/>
      </w:r>
      <w:r>
        <w:rPr>
          <w:rStyle w:val="style85"/>
          <w:rFonts w:ascii="Century Gothic" w:hAnsi="Century Gothic"/>
          <w:noProof/>
          <w:sz w:val="20"/>
          <w:szCs w:val="20"/>
        </w:rPr>
        <w:t>6.2. Au niveau socioéconomique</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_Toc82046096 \h </w:instrText>
      </w:r>
      <w:r>
        <w:rPr>
          <w:rFonts w:ascii="Century Gothic" w:hAnsi="Century Gothic"/>
          <w:noProof/>
          <w:webHidden/>
          <w:sz w:val="20"/>
          <w:szCs w:val="20"/>
        </w:rPr>
        <w:fldChar w:fldCharType="separate"/>
      </w:r>
      <w:r>
        <w:rPr>
          <w:rFonts w:ascii="Century Gothic" w:hAnsi="Century Gothic"/>
          <w:noProof/>
          <w:webHidden/>
          <w:sz w:val="20"/>
          <w:szCs w:val="20"/>
        </w:rPr>
        <w:t>64</w:t>
      </w:r>
      <w:r>
        <w:rPr>
          <w:rFonts w:ascii="Century Gothic" w:hAnsi="Century Gothic"/>
          <w:noProof/>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"_Toc82046097" </w:instrText>
      </w:r>
      <w:r>
        <w:rPr/>
        <w:fldChar w:fldCharType="separate"/>
      </w:r>
      <w:r>
        <w:rPr>
          <w:rStyle w:val="style85"/>
          <w:rFonts w:ascii="Century Gothic" w:hAnsi="Century Gothic"/>
          <w:noProof/>
          <w:sz w:val="20"/>
          <w:szCs w:val="20"/>
        </w:rPr>
        <w:t>6.3. Au niveau institutionnel</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_Toc82046097 \h </w:instrText>
      </w:r>
      <w:r>
        <w:rPr>
          <w:rFonts w:ascii="Century Gothic" w:hAnsi="Century Gothic"/>
          <w:noProof/>
          <w:webHidden/>
          <w:sz w:val="20"/>
          <w:szCs w:val="20"/>
        </w:rPr>
        <w:fldChar w:fldCharType="separate"/>
      </w:r>
      <w:r>
        <w:rPr>
          <w:rFonts w:ascii="Century Gothic" w:hAnsi="Century Gothic"/>
          <w:noProof/>
          <w:webHidden/>
          <w:sz w:val="20"/>
          <w:szCs w:val="20"/>
        </w:rPr>
        <w:t>64</w:t>
      </w:r>
      <w:r>
        <w:rPr>
          <w:rFonts w:ascii="Century Gothic" w:hAnsi="Century Gothic"/>
          <w:noProof/>
          <w:webHidden/>
          <w:sz w:val="20"/>
          <w:szCs w:val="20"/>
        </w:rPr>
        <w:fldChar w:fldCharType="end"/>
      </w:r>
      <w:r>
        <w:rPr/>
        <w:fldChar w:fldCharType="end"/>
      </w:r>
    </w:p>
    <w:p>
      <w:pPr>
        <w:pStyle w:val="style19"/>
        <w:rPr>
          <w:rFonts w:cs="宋体" w:eastAsia="宋体"/>
          <w:sz w:val="20"/>
          <w:szCs w:val="20"/>
        </w:rPr>
      </w:pPr>
      <w:r>
        <w:rPr/>
        <w:fldChar w:fldCharType="begin"/>
      </w:r>
      <w:r>
        <w:instrText xml:space="preserve"> HYPERLINK \l "_Toc82046098" </w:instrText>
      </w:r>
      <w:r>
        <w:rPr/>
        <w:fldChar w:fldCharType="separate"/>
      </w:r>
      <w:r>
        <w:rPr>
          <w:rStyle w:val="style85"/>
          <w:sz w:val="20"/>
          <w:szCs w:val="20"/>
        </w:rPr>
        <w:t>ANNEXES</w:t>
      </w:r>
      <w:r>
        <w:rPr>
          <w:webHidden/>
          <w:sz w:val="20"/>
          <w:szCs w:val="20"/>
        </w:rPr>
        <w:tab/>
      </w:r>
      <w:r>
        <w:rPr>
          <w:webHidden/>
          <w:sz w:val="20"/>
          <w:szCs w:val="20"/>
        </w:rPr>
        <w:fldChar w:fldCharType="begin"/>
      </w:r>
      <w:r>
        <w:rPr>
          <w:webHidden/>
          <w:sz w:val="20"/>
          <w:szCs w:val="20"/>
        </w:rPr>
        <w:instrText xml:space="preserve"> PAGEREF _Toc82046098 \h </w:instrText>
      </w:r>
      <w:r>
        <w:rPr>
          <w:webHidden/>
          <w:sz w:val="20"/>
          <w:szCs w:val="20"/>
        </w:rPr>
        <w:fldChar w:fldCharType="separate"/>
      </w:r>
      <w:r>
        <w:rPr>
          <w:webHidden/>
          <w:sz w:val="20"/>
          <w:szCs w:val="20"/>
        </w:rPr>
        <w:t>I</w:t>
      </w:r>
      <w:r>
        <w:rPr>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"_Toc82046099" </w:instrText>
      </w:r>
      <w:r>
        <w:rPr/>
        <w:fldChar w:fldCharType="separate"/>
      </w:r>
      <w:r>
        <w:rPr>
          <w:rStyle w:val="style85"/>
          <w:rFonts w:ascii="Century Gothic" w:hAnsi="Century Gothic"/>
          <w:noProof/>
          <w:sz w:val="20"/>
          <w:szCs w:val="20"/>
        </w:rPr>
        <w:t>Annexe 1 : Chronogramme indicatif détaillé des activités</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_Toc82046099 \h </w:instrText>
      </w:r>
      <w:r>
        <w:rPr>
          <w:rFonts w:ascii="Century Gothic" w:hAnsi="Century Gothic"/>
          <w:noProof/>
          <w:webHidden/>
          <w:sz w:val="20"/>
          <w:szCs w:val="20"/>
        </w:rPr>
        <w:fldChar w:fldCharType="separate"/>
      </w:r>
      <w:r>
        <w:rPr>
          <w:rFonts w:ascii="Century Gothic" w:hAnsi="Century Gothic"/>
          <w:noProof/>
          <w:webHidden/>
          <w:sz w:val="20"/>
          <w:szCs w:val="20"/>
        </w:rPr>
        <w:t>II</w:t>
      </w:r>
      <w:r>
        <w:rPr>
          <w:rFonts w:ascii="Century Gothic" w:hAnsi="Century Gothic"/>
          <w:noProof/>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"_Toc82046100" </w:instrText>
      </w:r>
      <w:r>
        <w:rPr/>
        <w:fldChar w:fldCharType="separate"/>
      </w:r>
      <w:r>
        <w:rPr>
          <w:rStyle w:val="style85"/>
          <w:rFonts w:ascii="Century Gothic" w:hAnsi="Century Gothic"/>
          <w:noProof/>
          <w:sz w:val="20"/>
          <w:szCs w:val="20"/>
        </w:rPr>
        <w:t>Annexe  2 : Listes et contacts des personnes et structures rencontrées</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_Toc82046100 \h </w:instrText>
      </w:r>
      <w:r>
        <w:rPr>
          <w:rFonts w:ascii="Century Gothic" w:hAnsi="Century Gothic"/>
          <w:noProof/>
          <w:webHidden/>
          <w:sz w:val="20"/>
          <w:szCs w:val="20"/>
        </w:rPr>
        <w:fldChar w:fldCharType="separate"/>
      </w:r>
      <w:r>
        <w:rPr>
          <w:rFonts w:ascii="Century Gothic" w:hAnsi="Century Gothic"/>
          <w:noProof/>
          <w:webHidden/>
          <w:sz w:val="20"/>
          <w:szCs w:val="20"/>
        </w:rPr>
        <w:t>VI</w:t>
      </w:r>
      <w:r>
        <w:rPr>
          <w:rFonts w:ascii="Century Gothic" w:hAnsi="Century Gothic"/>
          <w:noProof/>
          <w:webHidden/>
          <w:sz w:val="20"/>
          <w:szCs w:val="20"/>
        </w:rPr>
        <w:fldChar w:fldCharType="end"/>
      </w:r>
      <w:r>
        <w:rPr/>
        <w:fldChar w:fldCharType="end"/>
      </w:r>
    </w:p>
    <w:p>
      <w:pPr>
        <w:pStyle w:val="style20"/>
        <w:rPr>
          <w:rFonts w:ascii="Century Gothic" w:cs="宋体" w:eastAsia="宋体" w:hAnsi="Century Gothic"/>
          <w:noProof/>
          <w:sz w:val="20"/>
          <w:szCs w:val="20"/>
        </w:rPr>
      </w:pPr>
      <w:r>
        <w:rPr/>
        <w:fldChar w:fldCharType="begin"/>
      </w:r>
      <w:r>
        <w:instrText xml:space="preserve"> HYPERLINK \l "_Toc82046101" </w:instrText>
      </w:r>
      <w:r>
        <w:rPr/>
        <w:fldChar w:fldCharType="separate"/>
      </w:r>
      <w:r>
        <w:rPr>
          <w:rStyle w:val="style85"/>
          <w:rFonts w:ascii="Century Gothic" w:hAnsi="Century Gothic"/>
          <w:noProof/>
          <w:sz w:val="20"/>
          <w:szCs w:val="20"/>
        </w:rPr>
        <w:t>Annexe  3 : Quelques photos du processus d’élaboration du PDIC/REDD+ de Tiébélé</w:t>
      </w:r>
      <w:r>
        <w:rPr>
          <w:rFonts w:ascii="Century Gothic" w:hAnsi="Century Gothic"/>
          <w:noProof/>
          <w:webHidden/>
          <w:sz w:val="20"/>
          <w:szCs w:val="20"/>
        </w:rPr>
        <w:tab/>
      </w:r>
      <w:r>
        <w:rPr>
          <w:rFonts w:ascii="Century Gothic" w:hAnsi="Century Gothic"/>
          <w:noProof/>
          <w:webHidden/>
          <w:sz w:val="20"/>
          <w:szCs w:val="20"/>
        </w:rPr>
        <w:fldChar w:fldCharType="begin"/>
      </w:r>
      <w:r>
        <w:rPr>
          <w:rFonts w:ascii="Century Gothic" w:hAnsi="Century Gothic"/>
          <w:noProof/>
          <w:webHidden/>
          <w:sz w:val="20"/>
          <w:szCs w:val="20"/>
        </w:rPr>
        <w:instrText xml:space="preserve"> PAGEREF _Toc82046101 \h </w:instrText>
      </w:r>
      <w:r>
        <w:rPr>
          <w:rFonts w:ascii="Century Gothic" w:hAnsi="Century Gothic"/>
          <w:noProof/>
          <w:webHidden/>
          <w:sz w:val="20"/>
          <w:szCs w:val="20"/>
        </w:rPr>
        <w:fldChar w:fldCharType="separate"/>
      </w:r>
      <w:r>
        <w:rPr>
          <w:rFonts w:ascii="Century Gothic" w:hAnsi="Century Gothic"/>
          <w:noProof/>
          <w:webHidden/>
          <w:sz w:val="20"/>
          <w:szCs w:val="20"/>
        </w:rPr>
        <w:t>VII</w:t>
      </w:r>
      <w:r>
        <w:rPr>
          <w:rFonts w:ascii="Century Gothic" w:hAnsi="Century Gothic"/>
          <w:noProof/>
          <w:webHidden/>
          <w:sz w:val="20"/>
          <w:szCs w:val="20"/>
        </w:rPr>
        <w:fldChar w:fldCharType="end"/>
      </w:r>
      <w:r>
        <w:rPr/>
        <w:fldChar w:fldCharType="end"/>
      </w:r>
    </w:p>
    <w:p>
      <w:pPr>
        <w:pStyle w:val="style0"/>
        <w:tabs>
          <w:tab w:val="left" w:leader="none" w:pos="9214"/>
          <w:tab w:val="left" w:leader="none" w:pos="9639"/>
        </w:tabs>
        <w:rPr>
          <w:rFonts w:ascii="Century Gothic" w:hAnsi="Century Gothic"/>
        </w:rPr>
      </w:pPr>
      <w:r>
        <w:rPr>
          <w:rFonts w:ascii="Century Gothic" w:hAnsi="Century Gothic"/>
          <w:b/>
          <w:bCs/>
          <w:sz w:val="20"/>
          <w:szCs w:val="20"/>
        </w:rPr>
        <w:fldChar w:fldCharType="end"/>
      </w:r>
    </w:p>
    <w:bookmarkStart w:id="1" w:name="_Toc512421908"/>
    <w:p>
      <w:pPr>
        <w:pStyle w:val="style0"/>
        <w:spacing w:after="160" w:lineRule="auto" w:line="259"/>
        <w:rPr>
          <w:rFonts w:ascii="Century Gothic" w:hAnsi="Century Gothic"/>
        </w:rPr>
      </w:pPr>
      <w:r>
        <w:rPr>
          <w:rFonts w:ascii="Century Gothic" w:hAnsi="Century Gothic"/>
        </w:rPr>
        <w:br w:type="page"/>
      </w:r>
    </w:p>
    <w:bookmarkStart w:id="2" w:name="_Toc82046063"/>
    <w:p>
      <w:pPr>
        <w:pStyle w:val="style1"/>
        <w:numPr>
          <w:ilvl w:val="0"/>
          <w:numId w:val="0"/>
        </w:numPr>
        <w:tabs>
          <w:tab w:val="left" w:leader="none" w:pos="9214"/>
          <w:tab w:val="left" w:leader="none" w:pos="9639"/>
        </w:tabs>
        <w:spacing w:before="0" w:after="0"/>
        <w:ind w:hanging="432"/>
        <w:rPr>
          <w:rFonts w:ascii="Century Gothic" w:hAnsi="Century Gothic"/>
          <w:sz w:val="24"/>
          <w:szCs w:val="24"/>
        </w:rPr>
      </w:pPr>
      <w:r>
        <w:rPr>
          <w:rFonts w:ascii="Century Gothic" w:hAnsi="Century Gothic"/>
          <w:sz w:val="24"/>
          <w:szCs w:val="24"/>
        </w:rPr>
        <w:t>Liste des tableaux</w:t>
      </w:r>
      <w:bookmarkEnd w:id="2"/>
    </w:p>
    <w:p>
      <w:pPr>
        <w:pStyle w:val="style0"/>
        <w:spacing w:after="160" w:lineRule="auto" w:line="259"/>
        <w:rPr>
          <w:rFonts w:ascii="Century Gothic" w:hAnsi="Century Gothic"/>
        </w:rPr>
      </w:pPr>
    </w:p>
    <w:p>
      <w:pPr>
        <w:pStyle w:val="style35"/>
        <w:tabs>
          <w:tab w:val="right" w:leader="dot" w:pos="9642"/>
        </w:tabs>
        <w:rPr>
          <w:rFonts w:ascii="Calibri" w:cs="宋体" w:eastAsia="宋体" w:hAnsi="Calibri"/>
          <w:noProof/>
          <w:sz w:val="22"/>
          <w:szCs w:val="22"/>
        </w:rPr>
      </w:pPr>
      <w:r>
        <w:rPr>
          <w:rFonts w:ascii="Century Gothic" w:hAnsi="Century Gothic"/>
        </w:rPr>
        <w:fldChar w:fldCharType="begin"/>
      </w:r>
      <w:r>
        <w:rPr>
          <w:rFonts w:ascii="Century Gothic" w:hAnsi="Century Gothic"/>
        </w:rPr>
        <w:instrText xml:space="preserve"> TOC \h \z \c "Tableau" </w:instrText>
      </w:r>
      <w:r>
        <w:rPr>
          <w:rFonts w:ascii="Century Gothic" w:hAnsi="Century Gothic"/>
        </w:rPr>
        <w:fldChar w:fldCharType="separate"/>
      </w:r>
      <w:r>
        <w:rPr/>
        <w:fldChar w:fldCharType="begin"/>
      </w:r>
      <w:r>
        <w:instrText xml:space="preserve"> HYPERLINK \l "_Toc82333833" </w:instrText>
      </w:r>
      <w:r>
        <w:rPr/>
        <w:fldChar w:fldCharType="separate"/>
      </w:r>
      <w:r>
        <w:rPr>
          <w:rStyle w:val="style85"/>
          <w:rFonts w:ascii="Century Gothic" w:hAnsi="Century Gothic"/>
          <w:noProof/>
        </w:rPr>
        <w:t>Tableau I: Récapitulatif des financements du PDIC / REDD + de Tiébélé</w:t>
      </w:r>
      <w:r>
        <w:rPr>
          <w:noProof/>
          <w:webHidden/>
        </w:rPr>
        <w:tab/>
      </w:r>
      <w:r>
        <w:rPr>
          <w:noProof/>
          <w:webHidden/>
        </w:rPr>
        <w:fldChar w:fldCharType="begin"/>
      </w:r>
      <w:r>
        <w:rPr>
          <w:noProof/>
          <w:webHidden/>
        </w:rPr>
        <w:instrText xml:space="preserve"> PAGEREF _Toc82333833 \h </w:instrText>
      </w:r>
      <w:r>
        <w:rPr>
          <w:noProof/>
          <w:webHidden/>
        </w:rPr>
        <w:fldChar w:fldCharType="separate"/>
      </w:r>
      <w:r>
        <w:rPr>
          <w:noProof/>
          <w:webHidden/>
        </w:rPr>
        <w:t>1</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"_Toc82333834" </w:instrText>
      </w:r>
      <w:r>
        <w:rPr/>
        <w:fldChar w:fldCharType="separate"/>
      </w:r>
      <w:r>
        <w:rPr>
          <w:rStyle w:val="style85"/>
          <w:rFonts w:ascii="Century Gothic" w:hAnsi="Century Gothic"/>
          <w:noProof/>
        </w:rPr>
        <w:t>Tableau II: Etude diachronique 1989 - 2020 de l'occupation des terres de la commune de Tiébélé</w:t>
      </w:r>
      <w:r>
        <w:rPr>
          <w:noProof/>
          <w:webHidden/>
        </w:rPr>
        <w:tab/>
      </w:r>
      <w:r>
        <w:rPr>
          <w:noProof/>
          <w:webHidden/>
        </w:rPr>
        <w:fldChar w:fldCharType="begin"/>
      </w:r>
      <w:r>
        <w:rPr>
          <w:noProof/>
          <w:webHidden/>
        </w:rPr>
        <w:instrText xml:space="preserve"> PAGEREF _Toc82333834 \h </w:instrText>
      </w:r>
      <w:r>
        <w:rPr>
          <w:noProof/>
          <w:webHidden/>
        </w:rPr>
        <w:fldChar w:fldCharType="separate"/>
      </w:r>
      <w:r>
        <w:rPr>
          <w:noProof/>
          <w:webHidden/>
        </w:rPr>
        <w:t>7</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"_Toc82333835" </w:instrText>
      </w:r>
      <w:r>
        <w:rPr/>
        <w:fldChar w:fldCharType="separate"/>
      </w:r>
      <w:r>
        <w:rPr>
          <w:rStyle w:val="style85"/>
          <w:rFonts w:ascii="Century Gothic" w:hAnsi="Century Gothic"/>
          <w:noProof/>
        </w:rPr>
        <w:t>Tableau III: Budget estimatif du PDIC/REDD+</w:t>
      </w:r>
      <w:r>
        <w:rPr>
          <w:noProof/>
          <w:webHidden/>
        </w:rPr>
        <w:tab/>
      </w:r>
      <w:r>
        <w:rPr>
          <w:noProof/>
          <w:webHidden/>
        </w:rPr>
        <w:fldChar w:fldCharType="begin"/>
      </w:r>
      <w:r>
        <w:rPr>
          <w:noProof/>
          <w:webHidden/>
        </w:rPr>
        <w:instrText xml:space="preserve"> PAGEREF _Toc82333835 \h </w:instrText>
      </w:r>
      <w:r>
        <w:rPr>
          <w:noProof/>
          <w:webHidden/>
        </w:rPr>
        <w:fldChar w:fldCharType="separate"/>
      </w:r>
      <w:r>
        <w:rPr>
          <w:noProof/>
          <w:webHidden/>
        </w:rPr>
        <w:t>32</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"_Toc82333836" </w:instrText>
      </w:r>
      <w:r>
        <w:rPr/>
        <w:fldChar w:fldCharType="separate"/>
      </w:r>
      <w:r>
        <w:rPr>
          <w:rStyle w:val="style85"/>
          <w:rFonts w:ascii="Century Gothic" w:hAnsi="Century Gothic"/>
          <w:noProof/>
        </w:rPr>
        <w:t>Tableau IV: Cadre logique</w:t>
      </w:r>
      <w:r>
        <w:rPr>
          <w:noProof/>
          <w:webHidden/>
        </w:rPr>
        <w:tab/>
      </w:r>
      <w:r>
        <w:rPr>
          <w:noProof/>
          <w:webHidden/>
        </w:rPr>
        <w:fldChar w:fldCharType="begin"/>
      </w:r>
      <w:r>
        <w:rPr>
          <w:noProof/>
          <w:webHidden/>
        </w:rPr>
        <w:instrText xml:space="preserve"> PAGEREF _Toc82333836 \h </w:instrText>
      </w:r>
      <w:r>
        <w:rPr>
          <w:noProof/>
          <w:webHidden/>
        </w:rPr>
        <w:fldChar w:fldCharType="separate"/>
      </w:r>
      <w:r>
        <w:rPr>
          <w:noProof/>
          <w:webHidden/>
        </w:rPr>
        <w:t>43</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"_Toc82333837" </w:instrText>
      </w:r>
      <w:r>
        <w:rPr/>
        <w:fldChar w:fldCharType="separate"/>
      </w:r>
      <w:r>
        <w:rPr>
          <w:rStyle w:val="style85"/>
          <w:rFonts w:ascii="Century Gothic" w:hAnsi="Century Gothic"/>
          <w:noProof/>
        </w:rPr>
        <w:t>4.7.1. Tableau V: Activités de l’espace de conservation de Kaya</w:t>
      </w:r>
      <w:r>
        <w:rPr>
          <w:noProof/>
          <w:webHidden/>
        </w:rPr>
        <w:tab/>
      </w:r>
      <w:r>
        <w:rPr>
          <w:noProof/>
          <w:webHidden/>
        </w:rPr>
        <w:fldChar w:fldCharType="begin"/>
      </w:r>
      <w:r>
        <w:rPr>
          <w:noProof/>
          <w:webHidden/>
        </w:rPr>
        <w:instrText xml:space="preserve"> PAGEREF _Toc82333837 \h </w:instrText>
      </w:r>
      <w:r>
        <w:rPr>
          <w:noProof/>
          <w:webHidden/>
        </w:rPr>
        <w:fldChar w:fldCharType="separate"/>
      </w:r>
      <w:r>
        <w:rPr>
          <w:noProof/>
          <w:webHidden/>
        </w:rPr>
        <w:t>49</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"_Toc82333838" </w:instrText>
      </w:r>
      <w:r>
        <w:rPr/>
        <w:fldChar w:fldCharType="separate"/>
      </w:r>
      <w:r>
        <w:rPr>
          <w:rStyle w:val="style85"/>
          <w:rFonts w:ascii="Century Gothic" w:hAnsi="Century Gothic"/>
          <w:noProof/>
        </w:rPr>
        <w:t>4.7.2. Tableau VI: Activités de l’espace de conservation de Tangassogo</w:t>
      </w:r>
      <w:r>
        <w:rPr>
          <w:noProof/>
          <w:webHidden/>
        </w:rPr>
        <w:tab/>
      </w:r>
      <w:r>
        <w:rPr>
          <w:noProof/>
          <w:webHidden/>
        </w:rPr>
        <w:fldChar w:fldCharType="begin"/>
      </w:r>
      <w:r>
        <w:rPr>
          <w:noProof/>
          <w:webHidden/>
        </w:rPr>
        <w:instrText xml:space="preserve"> PAGEREF _Toc82333838 \h </w:instrText>
      </w:r>
      <w:r>
        <w:rPr>
          <w:noProof/>
          <w:webHidden/>
        </w:rPr>
        <w:fldChar w:fldCharType="separate"/>
      </w:r>
      <w:r>
        <w:rPr>
          <w:noProof/>
          <w:webHidden/>
        </w:rPr>
        <w:t>51</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"_Toc82333839" </w:instrText>
      </w:r>
      <w:r>
        <w:rPr/>
        <w:fldChar w:fldCharType="separate"/>
      </w:r>
      <w:r>
        <w:rPr>
          <w:rStyle w:val="style85"/>
          <w:rFonts w:ascii="Century Gothic" w:hAnsi="Century Gothic"/>
          <w:noProof/>
        </w:rPr>
        <w:t>Tableau VII: Bénéficiaires du PDIC/REDD+</w:t>
      </w:r>
      <w:r>
        <w:rPr>
          <w:noProof/>
          <w:webHidden/>
        </w:rPr>
        <w:tab/>
      </w:r>
      <w:r>
        <w:rPr>
          <w:noProof/>
          <w:webHidden/>
        </w:rPr>
        <w:fldChar w:fldCharType="begin"/>
      </w:r>
      <w:r>
        <w:rPr>
          <w:noProof/>
          <w:webHidden/>
        </w:rPr>
        <w:instrText xml:space="preserve"> PAGEREF _Toc82333839 \h </w:instrText>
      </w:r>
      <w:r>
        <w:rPr>
          <w:noProof/>
          <w:webHidden/>
        </w:rPr>
        <w:fldChar w:fldCharType="separate"/>
      </w:r>
      <w:r>
        <w:rPr>
          <w:noProof/>
          <w:webHidden/>
        </w:rPr>
        <w:t>55</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"_Toc82333840" </w:instrText>
      </w:r>
      <w:r>
        <w:rPr/>
        <w:fldChar w:fldCharType="separate"/>
      </w:r>
      <w:r>
        <w:rPr>
          <w:rStyle w:val="style85"/>
          <w:rFonts w:ascii="Century Gothic" w:hAnsi="Century Gothic"/>
          <w:noProof/>
        </w:rPr>
        <w:t>Tableau VIII: Bilan carbone du PDIC REDD+ de Tiébélé</w:t>
      </w:r>
      <w:r>
        <w:rPr>
          <w:noProof/>
          <w:webHidden/>
        </w:rPr>
        <w:tab/>
      </w:r>
      <w:r>
        <w:rPr>
          <w:noProof/>
          <w:webHidden/>
        </w:rPr>
        <w:fldChar w:fldCharType="begin"/>
      </w:r>
      <w:r>
        <w:rPr>
          <w:noProof/>
          <w:webHidden/>
        </w:rPr>
        <w:instrText xml:space="preserve"> PAGEREF _Toc82333840 \h </w:instrText>
      </w:r>
      <w:r>
        <w:rPr>
          <w:noProof/>
          <w:webHidden/>
        </w:rPr>
        <w:fldChar w:fldCharType="separate"/>
      </w:r>
      <w:r>
        <w:rPr>
          <w:noProof/>
          <w:webHidden/>
        </w:rPr>
        <w:t>61</w:t>
      </w:r>
      <w:r>
        <w:rPr>
          <w:noProof/>
          <w:webHidden/>
        </w:rPr>
        <w:fldChar w:fldCharType="end"/>
      </w:r>
      <w:r>
        <w:rPr/>
        <w:fldChar w:fldCharType="end"/>
      </w:r>
    </w:p>
    <w:p>
      <w:pPr>
        <w:pStyle w:val="style0"/>
        <w:spacing w:after="160" w:lineRule="auto" w:line="259"/>
        <w:rPr>
          <w:rFonts w:ascii="Century Gothic" w:hAnsi="Century Gothic"/>
        </w:rPr>
      </w:pPr>
      <w:r>
        <w:rPr>
          <w:rFonts w:ascii="Century Gothic" w:hAnsi="Century Gothic"/>
        </w:rPr>
        <w:fldChar w:fldCharType="end"/>
      </w:r>
    </w:p>
    <w:bookmarkStart w:id="3" w:name="_Toc82046064"/>
    <w:p>
      <w:pPr>
        <w:pStyle w:val="style1"/>
        <w:numPr>
          <w:ilvl w:val="0"/>
          <w:numId w:val="0"/>
        </w:numPr>
        <w:tabs>
          <w:tab w:val="left" w:leader="none" w:pos="9214"/>
          <w:tab w:val="left" w:leader="none" w:pos="9639"/>
        </w:tabs>
        <w:spacing w:before="0" w:after="0"/>
        <w:ind w:hanging="432"/>
        <w:rPr>
          <w:rFonts w:ascii="Century Gothic" w:hAnsi="Century Gothic"/>
          <w:sz w:val="24"/>
          <w:szCs w:val="24"/>
        </w:rPr>
      </w:pPr>
      <w:r>
        <w:rPr>
          <w:rFonts w:ascii="Century Gothic" w:hAnsi="Century Gothic"/>
          <w:sz w:val="24"/>
          <w:szCs w:val="24"/>
        </w:rPr>
        <w:t>Liste des figures</w:t>
      </w:r>
      <w:bookmarkEnd w:id="3"/>
    </w:p>
    <w:p>
      <w:pPr>
        <w:pStyle w:val="style35"/>
        <w:tabs>
          <w:tab w:val="right" w:leader="dot" w:pos="9642"/>
        </w:tabs>
        <w:rPr>
          <w:rFonts w:ascii="Calibri" w:cs="宋体" w:eastAsia="宋体" w:hAnsi="Calibri"/>
          <w:noProof/>
          <w:sz w:val="22"/>
          <w:szCs w:val="22"/>
        </w:rPr>
      </w:pPr>
      <w:r>
        <w:rPr>
          <w:rFonts w:ascii="Century Gothic" w:hAnsi="Century Gothic"/>
        </w:rPr>
        <w:fldChar w:fldCharType="begin"/>
      </w:r>
      <w:r>
        <w:rPr>
          <w:rFonts w:ascii="Century Gothic" w:hAnsi="Century Gothic"/>
        </w:rPr>
        <w:instrText xml:space="preserve"> TOC \h \z \c "Figure" </w:instrText>
      </w:r>
      <w:r>
        <w:rPr>
          <w:rFonts w:ascii="Century Gothic" w:hAnsi="Century Gothic"/>
        </w:rPr>
        <w:fldChar w:fldCharType="separate"/>
      </w:r>
      <w:r>
        <w:rPr/>
        <w:fldChar w:fldCharType="begin"/>
      </w:r>
      <w:r>
        <w:instrText xml:space="preserve"> HYPERLINK \l "_Toc82046045" </w:instrText>
      </w:r>
      <w:r>
        <w:rPr/>
        <w:fldChar w:fldCharType="separate"/>
      </w:r>
      <w:r>
        <w:rPr>
          <w:rStyle w:val="style85"/>
          <w:rFonts w:ascii="Century Gothic" w:hAnsi="Century Gothic"/>
          <w:noProof/>
        </w:rPr>
        <w:t>Figure 1: Localisation de la commune de Tiébélé</w:t>
      </w:r>
      <w:r>
        <w:rPr>
          <w:noProof/>
          <w:webHidden/>
        </w:rPr>
        <w:tab/>
      </w:r>
      <w:r>
        <w:rPr>
          <w:noProof/>
          <w:webHidden/>
        </w:rPr>
        <w:fldChar w:fldCharType="begin"/>
      </w:r>
      <w:r>
        <w:rPr>
          <w:noProof/>
          <w:webHidden/>
        </w:rPr>
        <w:instrText xml:space="preserve"> PAGEREF _Toc82046045 \h </w:instrText>
      </w:r>
      <w:r>
        <w:rPr>
          <w:noProof/>
          <w:webHidden/>
        </w:rPr>
        <w:fldChar w:fldCharType="separate"/>
      </w:r>
      <w:r>
        <w:rPr>
          <w:noProof/>
          <w:webHidden/>
        </w:rPr>
        <w:t>3</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"file:/F:/SANOU/2021/Divers/Perso/Consultations/Ga%20Mo%20Wignan/Tiébélé/PDIC/PDIC-TIEBELE-VERSION%20FINALE%207%20Septembre%202021_NANA-SANOU.docx" \l "_Toc82046046" </w:instrText>
      </w:r>
      <w:r>
        <w:rPr/>
        <w:fldChar w:fldCharType="separate"/>
      </w:r>
      <w:r>
        <w:rPr>
          <w:rStyle w:val="style85"/>
          <w:rFonts w:ascii="Century Gothic" w:hAnsi="Century Gothic"/>
          <w:noProof/>
        </w:rPr>
        <w:t>Figure 2: Localisation des espaces de conservation de la Commune de Tiébélé</w:t>
      </w:r>
      <w:r>
        <w:rPr>
          <w:noProof/>
          <w:webHidden/>
        </w:rPr>
        <w:tab/>
      </w:r>
      <w:r>
        <w:rPr>
          <w:noProof/>
          <w:webHidden/>
        </w:rPr>
        <w:fldChar w:fldCharType="begin"/>
      </w:r>
      <w:r>
        <w:rPr>
          <w:noProof/>
          <w:webHidden/>
        </w:rPr>
        <w:instrText xml:space="preserve"> PAGEREF _Toc82046046 \h </w:instrText>
      </w:r>
      <w:r>
        <w:rPr>
          <w:noProof/>
          <w:webHidden/>
        </w:rPr>
        <w:fldChar w:fldCharType="separate"/>
      </w:r>
      <w:r>
        <w:rPr>
          <w:noProof/>
          <w:webHidden/>
        </w:rPr>
        <w:t>5</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"_Toc82046047" </w:instrText>
      </w:r>
      <w:r>
        <w:rPr/>
        <w:fldChar w:fldCharType="separate"/>
      </w:r>
      <w:r>
        <w:rPr>
          <w:rStyle w:val="style85"/>
          <w:rFonts w:ascii="Century Gothic" w:hAnsi="Century Gothic"/>
          <w:noProof/>
        </w:rPr>
        <w:t>Figure 3: Taux moyen annuel d'expansion spatiale de 1989 à 2020 de la commune de Tiébélé</w:t>
      </w:r>
      <w:r>
        <w:rPr>
          <w:noProof/>
          <w:webHidden/>
        </w:rPr>
        <w:tab/>
      </w:r>
      <w:r>
        <w:rPr>
          <w:noProof/>
          <w:webHidden/>
        </w:rPr>
        <w:fldChar w:fldCharType="begin"/>
      </w:r>
      <w:r>
        <w:rPr>
          <w:noProof/>
          <w:webHidden/>
        </w:rPr>
        <w:instrText xml:space="preserve"> PAGEREF _Toc82046047 \h </w:instrText>
      </w:r>
      <w:r>
        <w:rPr>
          <w:noProof/>
          <w:webHidden/>
        </w:rPr>
        <w:fldChar w:fldCharType="separate"/>
      </w:r>
      <w:r>
        <w:rPr>
          <w:noProof/>
          <w:webHidden/>
        </w:rPr>
        <w:t>6</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"_Toc82046048" </w:instrText>
      </w:r>
      <w:r>
        <w:rPr/>
        <w:fldChar w:fldCharType="separate"/>
      </w:r>
      <w:r>
        <w:rPr>
          <w:rStyle w:val="style85"/>
          <w:rFonts w:ascii="Century Gothic" w:hAnsi="Century Gothic"/>
          <w:noProof/>
        </w:rPr>
        <w:t>Figure 4: Occupation des terres de la commune de Tiébélé en 1989 et en 2020</w:t>
      </w:r>
      <w:r>
        <w:rPr>
          <w:noProof/>
          <w:webHidden/>
        </w:rPr>
        <w:tab/>
      </w:r>
      <w:r>
        <w:rPr>
          <w:noProof/>
          <w:webHidden/>
        </w:rPr>
        <w:fldChar w:fldCharType="begin"/>
      </w:r>
      <w:r>
        <w:rPr>
          <w:noProof/>
          <w:webHidden/>
        </w:rPr>
        <w:instrText xml:space="preserve"> PAGEREF _Toc82046048 \h </w:instrText>
      </w:r>
      <w:r>
        <w:rPr>
          <w:noProof/>
          <w:webHidden/>
        </w:rPr>
        <w:fldChar w:fldCharType="separate"/>
      </w:r>
      <w:r>
        <w:rPr>
          <w:noProof/>
          <w:webHidden/>
        </w:rPr>
        <w:t>9</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"_Toc82046049" </w:instrText>
      </w:r>
      <w:r>
        <w:rPr/>
        <w:fldChar w:fldCharType="separate"/>
      </w:r>
      <w:r>
        <w:rPr>
          <w:rStyle w:val="style85"/>
          <w:rFonts w:ascii="Century Gothic" w:hAnsi="Century Gothic"/>
          <w:noProof/>
        </w:rPr>
        <w:t>Figure 5: Localisation des investissements autour de l'espace de conservation de Kaya</w:t>
      </w:r>
      <w:r>
        <w:rPr>
          <w:noProof/>
          <w:webHidden/>
        </w:rPr>
        <w:tab/>
      </w:r>
      <w:r>
        <w:rPr>
          <w:noProof/>
          <w:webHidden/>
        </w:rPr>
        <w:fldChar w:fldCharType="begin"/>
      </w:r>
      <w:r>
        <w:rPr>
          <w:noProof/>
          <w:webHidden/>
        </w:rPr>
        <w:instrText xml:space="preserve"> PAGEREF _Toc82046049 \h </w:instrText>
      </w:r>
      <w:r>
        <w:rPr>
          <w:noProof/>
          <w:webHidden/>
        </w:rPr>
        <w:fldChar w:fldCharType="separate"/>
      </w:r>
      <w:r>
        <w:rPr>
          <w:noProof/>
          <w:webHidden/>
        </w:rPr>
        <w:t>53</w:t>
      </w:r>
      <w:r>
        <w:rPr>
          <w:noProof/>
          <w:webHidden/>
        </w:rPr>
        <w:fldChar w:fldCharType="end"/>
      </w:r>
      <w:r>
        <w:rPr/>
        <w:fldChar w:fldCharType="end"/>
      </w:r>
    </w:p>
    <w:p>
      <w:pPr>
        <w:pStyle w:val="style35"/>
        <w:tabs>
          <w:tab w:val="right" w:leader="dot" w:pos="9642"/>
        </w:tabs>
        <w:rPr>
          <w:rFonts w:ascii="Calibri" w:cs="宋体" w:eastAsia="宋体" w:hAnsi="Calibri"/>
          <w:noProof/>
          <w:sz w:val="22"/>
          <w:szCs w:val="22"/>
        </w:rPr>
      </w:pPr>
      <w:r>
        <w:rPr/>
        <w:fldChar w:fldCharType="begin"/>
      </w:r>
      <w:r>
        <w:instrText xml:space="preserve"> HYPERLINK \l "_Toc82046050" </w:instrText>
      </w:r>
      <w:r>
        <w:rPr/>
        <w:fldChar w:fldCharType="separate"/>
      </w:r>
      <w:r>
        <w:rPr>
          <w:rStyle w:val="style85"/>
          <w:rFonts w:ascii="Century Gothic" w:hAnsi="Century Gothic"/>
          <w:noProof/>
        </w:rPr>
        <w:t>Figure 6: Localisation des investissements autour de l'espace de conservation de Tangassogo</w:t>
      </w:r>
      <w:r>
        <w:rPr>
          <w:noProof/>
          <w:webHidden/>
        </w:rPr>
        <w:tab/>
      </w:r>
      <w:r>
        <w:rPr>
          <w:noProof/>
          <w:webHidden/>
        </w:rPr>
        <w:fldChar w:fldCharType="begin"/>
      </w:r>
      <w:r>
        <w:rPr>
          <w:noProof/>
          <w:webHidden/>
        </w:rPr>
        <w:instrText xml:space="preserve"> PAGEREF _Toc82046050 \h </w:instrText>
      </w:r>
      <w:r>
        <w:rPr>
          <w:noProof/>
          <w:webHidden/>
        </w:rPr>
        <w:fldChar w:fldCharType="separate"/>
      </w:r>
      <w:r>
        <w:rPr>
          <w:noProof/>
          <w:webHidden/>
        </w:rPr>
        <w:t>54</w:t>
      </w:r>
      <w:r>
        <w:rPr>
          <w:noProof/>
          <w:webHidden/>
        </w:rPr>
        <w:fldChar w:fldCharType="end"/>
      </w:r>
      <w:r>
        <w:rPr/>
        <w:fldChar w:fldCharType="end"/>
      </w:r>
    </w:p>
    <w:p>
      <w:pPr>
        <w:pStyle w:val="style0"/>
        <w:spacing w:after="160" w:lineRule="auto" w:line="259"/>
        <w:rPr>
          <w:rFonts w:ascii="Century Gothic" w:hAnsi="Century Gothic"/>
        </w:rPr>
      </w:pPr>
      <w:r>
        <w:rPr>
          <w:rFonts w:ascii="Century Gothic" w:hAnsi="Century Gothic"/>
        </w:rPr>
        <w:fldChar w:fldCharType="end"/>
      </w:r>
    </w:p>
    <w:p>
      <w:pPr>
        <w:pStyle w:val="style0"/>
        <w:spacing w:after="160" w:lineRule="auto" w:line="259"/>
        <w:rPr>
          <w:rFonts w:ascii="Century Gothic" w:hAnsi="Century Gothic"/>
          <w:b/>
          <w:bCs/>
          <w:smallCaps/>
          <w:kern w:val="32"/>
          <w:u w:val="double"/>
        </w:rPr>
      </w:pPr>
      <w:r>
        <w:rPr>
          <w:rFonts w:ascii="Century Gothic" w:hAnsi="Century Gothic"/>
        </w:rPr>
        <w:br w:type="page"/>
      </w:r>
    </w:p>
    <w:bookmarkStart w:id="4" w:name="_Toc82046065"/>
    <w:p>
      <w:pPr>
        <w:pStyle w:val="style1"/>
        <w:numPr>
          <w:ilvl w:val="0"/>
          <w:numId w:val="0"/>
        </w:numPr>
        <w:tabs>
          <w:tab w:val="left" w:leader="none" w:pos="9214"/>
          <w:tab w:val="left" w:leader="none" w:pos="9639"/>
        </w:tabs>
        <w:spacing w:before="0" w:after="0"/>
        <w:ind w:hanging="432"/>
        <w:rPr>
          <w:rFonts w:ascii="Century Gothic" w:hAnsi="Century Gothic"/>
          <w:sz w:val="24"/>
          <w:szCs w:val="24"/>
        </w:rPr>
      </w:pPr>
      <w:r>
        <w:rPr>
          <w:rFonts w:ascii="Century Gothic" w:hAnsi="Century Gothic"/>
          <w:sz w:val="24"/>
          <w:szCs w:val="24"/>
        </w:rPr>
        <w:t>Sigles et abréviations</w:t>
      </w:r>
      <w:bookmarkEnd w:id="1"/>
      <w:bookmarkEnd w:id="4"/>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rPr>
      </w:pPr>
    </w:p>
    <w:p>
      <w:pPr>
        <w:pStyle w:val="style0"/>
        <w:rPr>
          <w:rFonts w:ascii="Century Gothic" w:hAnsi="Century Gothic"/>
        </w:rPr>
      </w:pPr>
      <w:r>
        <w:rPr>
          <w:rFonts w:ascii="Century Gothic" w:hAnsi="Century Gothic"/>
          <w:b/>
        </w:rPr>
        <w:t xml:space="preserve">AN : </w:t>
      </w:r>
      <w:r>
        <w:rPr>
          <w:rFonts w:ascii="Century Gothic" w:hAnsi="Century Gothic"/>
          <w:b/>
        </w:rPr>
        <w:tab/>
      </w:r>
      <w:r>
        <w:rPr>
          <w:rFonts w:ascii="Century Gothic" w:hAnsi="Century Gothic"/>
          <w:b/>
        </w:rPr>
        <w:tab/>
      </w:r>
      <w:r>
        <w:rPr>
          <w:rFonts w:ascii="Century Gothic" w:hAnsi="Century Gothic"/>
        </w:rPr>
        <w:t>Assemblée Nationale</w:t>
      </w:r>
    </w:p>
    <w:p>
      <w:pPr>
        <w:pStyle w:val="style0"/>
        <w:rPr>
          <w:rFonts w:ascii="Century Gothic" w:hAnsi="Century Gothic"/>
          <w:b/>
        </w:rPr>
      </w:pPr>
    </w:p>
    <w:p>
      <w:pPr>
        <w:pStyle w:val="style0"/>
        <w:rPr>
          <w:rFonts w:ascii="Century Gothic" w:hAnsi="Century Gothic"/>
        </w:rPr>
      </w:pPr>
      <w:r>
        <w:rPr>
          <w:rFonts w:ascii="Century Gothic" w:hAnsi="Century Gothic"/>
          <w:b/>
        </w:rPr>
        <w:t xml:space="preserve">CVD : </w:t>
      </w:r>
      <w:r>
        <w:rPr>
          <w:rFonts w:ascii="Century Gothic" w:hAnsi="Century Gothic"/>
          <w:b/>
        </w:rPr>
        <w:tab/>
      </w:r>
      <w:r>
        <w:rPr>
          <w:rFonts w:ascii="Century Gothic" w:hAnsi="Century Gothic"/>
        </w:rPr>
        <w:t>Conseil Villageois de Développement</w:t>
      </w:r>
    </w:p>
    <w:p>
      <w:pPr>
        <w:pStyle w:val="style0"/>
        <w:rPr>
          <w:rFonts w:ascii="Century Gothic" w:hAnsi="Century Gothic"/>
          <w:b/>
        </w:rPr>
      </w:pPr>
    </w:p>
    <w:p>
      <w:pPr>
        <w:pStyle w:val="style0"/>
        <w:rPr>
          <w:rFonts w:ascii="Century Gothic" w:hAnsi="Century Gothic"/>
        </w:rPr>
      </w:pPr>
      <w:r>
        <w:rPr>
          <w:rFonts w:ascii="Century Gothic" w:hAnsi="Century Gothic"/>
          <w:b/>
        </w:rPr>
        <w:t xml:space="preserve">PCD : </w:t>
      </w:r>
      <w:r>
        <w:rPr>
          <w:rFonts w:ascii="Century Gothic" w:hAnsi="Century Gothic"/>
          <w:b/>
        </w:rPr>
        <w:tab/>
      </w:r>
      <w:r>
        <w:rPr>
          <w:rFonts w:ascii="Century Gothic" w:hAnsi="Century Gothic"/>
          <w:b/>
        </w:rPr>
        <w:tab/>
      </w:r>
      <w:r>
        <w:rPr>
          <w:rFonts w:ascii="Century Gothic" w:hAnsi="Century Gothic"/>
        </w:rPr>
        <w:t>Plan Communal de Développement</w:t>
      </w:r>
    </w:p>
    <w:p>
      <w:pPr>
        <w:pStyle w:val="style0"/>
        <w:rPr>
          <w:rFonts w:ascii="Century Gothic" w:hAnsi="Century Gothic"/>
          <w:b/>
        </w:rPr>
      </w:pPr>
    </w:p>
    <w:p>
      <w:pPr>
        <w:pStyle w:val="style0"/>
        <w:rPr>
          <w:rFonts w:ascii="Century Gothic" w:hAnsi="Century Gothic"/>
        </w:rPr>
      </w:pPr>
      <w:r>
        <w:rPr>
          <w:rFonts w:ascii="Century Gothic" w:hAnsi="Century Gothic"/>
          <w:b/>
        </w:rPr>
        <w:t xml:space="preserve">PDIC : </w:t>
      </w:r>
      <w:r>
        <w:rPr>
          <w:rFonts w:ascii="Century Gothic" w:hAnsi="Century Gothic"/>
          <w:b/>
        </w:rPr>
        <w:tab/>
      </w:r>
      <w:r>
        <w:rPr>
          <w:rFonts w:ascii="Century Gothic" w:hAnsi="Century Gothic"/>
        </w:rPr>
        <w:t>Projet de Développement Intégré Communaux</w:t>
      </w:r>
    </w:p>
    <w:p>
      <w:pPr>
        <w:pStyle w:val="style0"/>
        <w:rPr>
          <w:rFonts w:ascii="Century Gothic" w:hAnsi="Century Gothic"/>
          <w:b/>
          <w:bCs/>
        </w:rPr>
      </w:pPr>
    </w:p>
    <w:p>
      <w:pPr>
        <w:pStyle w:val="style0"/>
        <w:rPr>
          <w:rFonts w:ascii="Century Gothic" w:hAnsi="Century Gothic"/>
          <w:b/>
          <w:bCs/>
        </w:rPr>
      </w:pPr>
      <w:r>
        <w:rPr>
          <w:rFonts w:ascii="Century Gothic" w:hAnsi="Century Gothic"/>
          <w:b/>
          <w:bCs/>
        </w:rPr>
        <w:t xml:space="preserve">PFNL : </w:t>
      </w:r>
      <w:r>
        <w:rPr>
          <w:rFonts w:ascii="Century Gothic" w:hAnsi="Century Gothic"/>
          <w:b/>
          <w:bCs/>
        </w:rPr>
        <w:tab/>
      </w:r>
      <w:r>
        <w:rPr>
          <w:rFonts w:ascii="Century Gothic" w:hAnsi="Century Gothic"/>
          <w:bCs/>
        </w:rPr>
        <w:t>Produits Forestiers Non Ligneux</w:t>
      </w:r>
    </w:p>
    <w:p>
      <w:pPr>
        <w:pStyle w:val="style0"/>
        <w:rPr>
          <w:rFonts w:ascii="Century Gothic" w:hAnsi="Century Gothic"/>
          <w:b/>
        </w:rPr>
      </w:pPr>
    </w:p>
    <w:p>
      <w:pPr>
        <w:pStyle w:val="style0"/>
        <w:rPr>
          <w:rFonts w:ascii="Century Gothic" w:hAnsi="Century Gothic"/>
        </w:rPr>
      </w:pPr>
      <w:r>
        <w:rPr>
          <w:rFonts w:ascii="Century Gothic" w:hAnsi="Century Gothic"/>
          <w:b/>
        </w:rPr>
        <w:t>PNKT</w:t>
      </w:r>
      <w:r>
        <w:rPr>
          <w:rFonts w:ascii="Century Gothic" w:hAnsi="Century Gothic"/>
        </w:rPr>
        <w:t> :</w:t>
      </w:r>
      <w:r>
        <w:rPr>
          <w:rFonts w:ascii="Century Gothic" w:hAnsi="Century Gothic"/>
        </w:rPr>
        <w:tab/>
      </w:r>
      <w:r>
        <w:rPr>
          <w:rFonts w:ascii="Century Gothic" w:hAnsi="Century Gothic"/>
        </w:rPr>
        <w:t xml:space="preserve"> </w:t>
      </w:r>
      <w:r>
        <w:rPr>
          <w:rFonts w:ascii="Century Gothic" w:hAnsi="Century Gothic"/>
        </w:rPr>
        <w:tab/>
      </w:r>
      <w:r>
        <w:rPr>
          <w:rFonts w:ascii="Century Gothic" w:hAnsi="Century Gothic"/>
        </w:rPr>
        <w:t>Parc National KABORE Tambi</w:t>
      </w:r>
    </w:p>
    <w:p>
      <w:pPr>
        <w:pStyle w:val="style0"/>
        <w:rPr>
          <w:rFonts w:ascii="Century Gothic" w:hAnsi="Century Gothic"/>
          <w:b/>
        </w:rPr>
      </w:pPr>
    </w:p>
    <w:p>
      <w:pPr>
        <w:pStyle w:val="style0"/>
        <w:rPr>
          <w:rFonts w:ascii="Century Gothic" w:hAnsi="Century Gothic"/>
        </w:rPr>
      </w:pPr>
      <w:r>
        <w:rPr>
          <w:rFonts w:ascii="Century Gothic" w:hAnsi="Century Gothic"/>
          <w:b/>
        </w:rPr>
        <w:t>PV</w:t>
      </w:r>
      <w:r>
        <w:rPr>
          <w:rFonts w:ascii="Century Gothic" w:hAnsi="Century Gothic"/>
        </w:rPr>
        <w:t xml:space="preserve"> : </w:t>
      </w:r>
      <w:r>
        <w:rPr>
          <w:rFonts w:ascii="Century Gothic" w:hAnsi="Century Gothic"/>
        </w:rPr>
        <w:tab/>
      </w:r>
      <w:r>
        <w:rPr>
          <w:rFonts w:ascii="Century Gothic" w:hAnsi="Century Gothic"/>
        </w:rPr>
        <w:tab/>
      </w:r>
      <w:r>
        <w:rPr>
          <w:rFonts w:ascii="Century Gothic" w:hAnsi="Century Gothic"/>
        </w:rPr>
        <w:t>Procès-Verbal</w:t>
      </w:r>
    </w:p>
    <w:p>
      <w:pPr>
        <w:pStyle w:val="style0"/>
        <w:rPr>
          <w:rFonts w:ascii="Century Gothic" w:hAnsi="Century Gothic"/>
          <w:b/>
        </w:rPr>
      </w:pPr>
    </w:p>
    <w:p>
      <w:pPr>
        <w:pStyle w:val="style0"/>
        <w:rPr>
          <w:rFonts w:ascii="Century Gothic" w:hAnsi="Century Gothic"/>
        </w:rPr>
      </w:pPr>
      <w:r>
        <w:rPr>
          <w:rFonts w:ascii="Century Gothic" w:hAnsi="Century Gothic"/>
          <w:b/>
        </w:rPr>
        <w:t>REDD :</w:t>
      </w:r>
      <w:r>
        <w:rPr>
          <w:rFonts w:ascii="Century Gothic" w:hAnsi="Century Gothic"/>
        </w:rPr>
        <w:t xml:space="preserve"> </w:t>
      </w:r>
      <w:r>
        <w:rPr>
          <w:rFonts w:ascii="Century Gothic" w:hAnsi="Century Gothic"/>
        </w:rPr>
        <w:tab/>
      </w:r>
      <w:r>
        <w:rPr>
          <w:rFonts w:ascii="Century Gothic" w:hAnsi="Century Gothic"/>
        </w:rPr>
        <w:t>Réduction de Déforestation et de la Dégradation</w:t>
      </w:r>
    </w:p>
    <w:p>
      <w:pPr>
        <w:pStyle w:val="style0"/>
        <w:rPr>
          <w:rFonts w:ascii="Century Gothic" w:hAnsi="Century Gothic"/>
          <w:b/>
          <w:bCs/>
        </w:rPr>
      </w:pPr>
    </w:p>
    <w:p>
      <w:pPr>
        <w:pStyle w:val="style0"/>
        <w:rPr>
          <w:rFonts w:ascii="Century Gothic" w:hAnsi="Century Gothic"/>
          <w:bCs/>
        </w:rPr>
      </w:pPr>
      <w:r>
        <w:rPr>
          <w:rFonts w:ascii="Century Gothic" w:hAnsi="Century Gothic"/>
          <w:b/>
          <w:bCs/>
        </w:rPr>
        <w:t xml:space="preserve">SFR : </w:t>
      </w:r>
      <w:r>
        <w:rPr>
          <w:rFonts w:ascii="Century Gothic" w:hAnsi="Century Gothic"/>
          <w:b/>
          <w:bCs/>
        </w:rPr>
        <w:tab/>
      </w:r>
      <w:r>
        <w:rPr>
          <w:rFonts w:ascii="Century Gothic" w:hAnsi="Century Gothic"/>
          <w:b/>
          <w:bCs/>
        </w:rPr>
        <w:tab/>
      </w:r>
      <w:r>
        <w:rPr>
          <w:rFonts w:ascii="Century Gothic" w:hAnsi="Century Gothic"/>
          <w:bCs/>
        </w:rPr>
        <w:t>Service Foncier Rural</w:t>
      </w:r>
    </w:p>
    <w:p>
      <w:pPr>
        <w:pStyle w:val="style0"/>
        <w:ind w:left="1416" w:hanging="1416"/>
        <w:rPr>
          <w:rFonts w:ascii="Century Gothic" w:hAnsi="Century Gothic"/>
          <w:b/>
          <w:bCs/>
        </w:rPr>
      </w:pPr>
    </w:p>
    <w:p>
      <w:pPr>
        <w:pStyle w:val="style0"/>
        <w:ind w:left="1416" w:hanging="1416"/>
        <w:rPr>
          <w:rFonts w:ascii="Century Gothic" w:hAnsi="Century Gothic"/>
          <w:bCs/>
        </w:rPr>
      </w:pPr>
      <w:r>
        <w:rPr>
          <w:rFonts w:ascii="Century Gothic" w:hAnsi="Century Gothic"/>
          <w:b/>
          <w:bCs/>
        </w:rPr>
        <w:t>SDEEVCC</w:t>
      </w:r>
      <w:r>
        <w:rPr>
          <w:rFonts w:ascii="Century Gothic" w:hAnsi="Century Gothic"/>
          <w:bCs/>
        </w:rPr>
        <w:t> :</w:t>
      </w:r>
      <w:r>
        <w:rPr>
          <w:rFonts w:ascii="Century Gothic" w:hAnsi="Century Gothic"/>
          <w:bCs/>
        </w:rPr>
        <w:tab/>
      </w:r>
      <w:r>
        <w:rPr>
          <w:rFonts w:ascii="Century Gothic" w:hAnsi="Century Gothic"/>
          <w:bCs/>
        </w:rPr>
        <w:t>Service Départemental de l’Environnement, de l’Economie Verte et du Changement Climatique</w:t>
      </w:r>
    </w:p>
    <w:p>
      <w:pPr>
        <w:pStyle w:val="style0"/>
        <w:rPr>
          <w:rFonts w:ascii="Century Gothic" w:hAnsi="Century Gothic"/>
          <w:bCs/>
        </w:rPr>
      </w:pPr>
      <w:r>
        <w:rPr>
          <w:rFonts w:ascii="Century Gothic" w:hAnsi="Century Gothic"/>
          <w:b/>
          <w:bCs/>
        </w:rPr>
        <w:t>STD</w:t>
      </w:r>
      <w:r>
        <w:rPr>
          <w:rFonts w:ascii="Century Gothic" w:hAnsi="Century Gothic"/>
          <w:bCs/>
        </w:rPr>
        <w:t xml:space="preserve"> : </w:t>
      </w:r>
      <w:r>
        <w:rPr>
          <w:rFonts w:ascii="Century Gothic" w:hAnsi="Century Gothic"/>
          <w:bCs/>
        </w:rPr>
        <w:tab/>
      </w:r>
      <w:r>
        <w:rPr>
          <w:rFonts w:ascii="Century Gothic" w:hAnsi="Century Gothic"/>
          <w:bCs/>
        </w:rPr>
        <w:tab/>
      </w:r>
      <w:r>
        <w:rPr>
          <w:rFonts w:ascii="Century Gothic" w:hAnsi="Century Gothic"/>
          <w:bCs/>
        </w:rPr>
        <w:t>Services Techniques Déconcentrés</w:t>
      </w:r>
    </w:p>
    <w:p>
      <w:pPr>
        <w:pStyle w:val="style0"/>
        <w:rPr>
          <w:rFonts w:ascii="Century Gothic" w:hAnsi="Century Gothic"/>
          <w:b/>
          <w:bCs/>
        </w:rPr>
      </w:pPr>
    </w:p>
    <w:p>
      <w:pPr>
        <w:pStyle w:val="style0"/>
        <w:rPr>
          <w:rFonts w:ascii="Century Gothic" w:hAnsi="Century Gothic"/>
          <w:bCs/>
        </w:rPr>
      </w:pPr>
      <w:r>
        <w:rPr>
          <w:rFonts w:ascii="Century Gothic" w:hAnsi="Century Gothic"/>
          <w:b/>
          <w:bCs/>
        </w:rPr>
        <w:t>TdR</w:t>
      </w:r>
      <w:r>
        <w:rPr>
          <w:rFonts w:ascii="Century Gothic" w:hAnsi="Century Gothic"/>
          <w:bCs/>
        </w:rPr>
        <w:t xml:space="preserve"> : </w:t>
      </w:r>
      <w:r>
        <w:rPr>
          <w:rFonts w:ascii="Century Gothic" w:hAnsi="Century Gothic"/>
          <w:bCs/>
        </w:rPr>
        <w:tab/>
      </w:r>
      <w:r>
        <w:rPr>
          <w:rFonts w:ascii="Century Gothic" w:hAnsi="Century Gothic"/>
          <w:bCs/>
        </w:rPr>
        <w:tab/>
      </w:r>
      <w:r>
        <w:rPr>
          <w:rFonts w:ascii="Century Gothic" w:hAnsi="Century Gothic"/>
          <w:bCs/>
        </w:rPr>
        <w:t>Termes de Références</w:t>
      </w:r>
    </w:p>
    <w:p>
      <w:pPr>
        <w:pStyle w:val="style0"/>
        <w:rPr>
          <w:rFonts w:ascii="Century Gothic" w:hAnsi="Century Gothic"/>
          <w:b/>
        </w:rPr>
      </w:pPr>
    </w:p>
    <w:p>
      <w:pPr>
        <w:pStyle w:val="style0"/>
        <w:rPr>
          <w:rFonts w:ascii="Century Gothic" w:hAnsi="Century Gothic"/>
          <w:b/>
        </w:rPr>
      </w:pPr>
      <w:r>
        <w:rPr>
          <w:rFonts w:ascii="Century Gothic" w:hAnsi="Century Gothic"/>
          <w:b/>
        </w:rPr>
        <w:t xml:space="preserve">ZATA : </w:t>
      </w:r>
      <w:r>
        <w:rPr>
          <w:rFonts w:ascii="Century Gothic" w:hAnsi="Century Gothic"/>
          <w:b/>
        </w:rPr>
        <w:tab/>
      </w:r>
      <w:r>
        <w:rPr>
          <w:rFonts w:ascii="Century Gothic" w:hAnsi="Century Gothic"/>
        </w:rPr>
        <w:t>Zone d’Appui Technique à l’Agriculture</w:t>
      </w:r>
    </w:p>
    <w:p>
      <w:pPr>
        <w:pStyle w:val="style0"/>
        <w:rPr>
          <w:rFonts w:ascii="Century Gothic" w:hAnsi="Century Gothic"/>
          <w:b/>
        </w:rPr>
      </w:pPr>
    </w:p>
    <w:p>
      <w:pPr>
        <w:pStyle w:val="style0"/>
        <w:rPr>
          <w:rFonts w:ascii="Century Gothic" w:hAnsi="Century Gothic"/>
        </w:rPr>
      </w:pPr>
      <w:r>
        <w:rPr>
          <w:rFonts w:ascii="Century Gothic" w:hAnsi="Century Gothic"/>
          <w:b/>
        </w:rPr>
        <w:t>ZATE :</w:t>
      </w:r>
      <w:r>
        <w:rPr>
          <w:rFonts w:ascii="Century Gothic" w:hAnsi="Century Gothic"/>
        </w:rPr>
        <w:t xml:space="preserve"> </w:t>
      </w:r>
      <w:r>
        <w:rPr>
          <w:rFonts w:ascii="Century Gothic" w:hAnsi="Century Gothic"/>
        </w:rPr>
        <w:tab/>
      </w:r>
      <w:r>
        <w:rPr>
          <w:rFonts w:ascii="Century Gothic" w:hAnsi="Century Gothic"/>
        </w:rPr>
        <w:t>Zone d’Appui Technique en Elevage</w:t>
      </w:r>
    </w:p>
    <w:p>
      <w:pPr>
        <w:pStyle w:val="style0"/>
        <w:rPr>
          <w:rFonts w:ascii="Century Gothic" w:hAnsi="Century Gothic"/>
        </w:rPr>
      </w:pPr>
    </w:p>
    <w:p>
      <w:pPr>
        <w:pStyle w:val="style0"/>
        <w:rPr>
          <w:rFonts w:ascii="Century Gothic" w:hAnsi="Century Gothic"/>
        </w:rPr>
        <w:sectPr>
          <w:pgSz w:w="11920" w:h="16840" w:orient="portrait"/>
          <w:pgMar w:top="1134" w:right="1134" w:bottom="1134" w:left="1134" w:header="709" w:footer="709" w:gutter="0"/>
          <w:pgNumType w:fmt="lowerRoman" w:start="1"/>
          <w:cols w:space="708"/>
          <w:docGrid w:linePitch="360"/>
        </w:sectPr>
      </w:pPr>
    </w:p>
    <w:bookmarkStart w:id="5" w:name="_Toc82046066"/>
    <w:p>
      <w:pPr>
        <w:pStyle w:val="style1"/>
        <w:numPr>
          <w:ilvl w:val="0"/>
          <w:numId w:val="0"/>
        </w:numPr>
        <w:tabs>
          <w:tab w:val="left" w:leader="none" w:pos="9214"/>
          <w:tab w:val="left" w:leader="none" w:pos="9639"/>
        </w:tabs>
        <w:spacing w:before="0" w:after="0"/>
        <w:rPr>
          <w:rFonts w:ascii="Century Gothic" w:hAnsi="Century Gothic"/>
          <w:sz w:val="24"/>
          <w:szCs w:val="24"/>
        </w:rPr>
      </w:pPr>
      <w:r>
        <w:rPr>
          <w:rFonts w:ascii="Century Gothic" w:hAnsi="Century Gothic"/>
          <w:sz w:val="24"/>
          <w:szCs w:val="24"/>
        </w:rPr>
        <w:t>I. INFORMATIONS GENERALES</w:t>
      </w:r>
      <w:bookmarkEnd w:id="5"/>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b/>
        </w:rPr>
        <w:t xml:space="preserve">Maîtrise d’ouvrage : </w:t>
      </w:r>
      <w:r>
        <w:rPr>
          <w:rFonts w:ascii="Century Gothic" w:hAnsi="Century Gothic"/>
        </w:rPr>
        <w:t xml:space="preserve">Commune de </w:t>
      </w:r>
      <w:r>
        <w:rPr>
          <w:rFonts w:ascii="Century Gothic" w:hAnsi="Century Gothic"/>
        </w:rPr>
        <w:t>T</w:t>
      </w:r>
      <w:r>
        <w:rPr>
          <w:rFonts w:ascii="Century Gothic" w:hAnsi="Century Gothic"/>
        </w:rPr>
        <w:t>iébélé</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rPr>
      </w:pPr>
      <w:r>
        <w:rPr>
          <w:rFonts w:ascii="Century Gothic" w:hAnsi="Century Gothic"/>
          <w:b/>
        </w:rPr>
        <w:t xml:space="preserve">Représentée par le Maire : </w:t>
      </w:r>
      <w:r>
        <w:rPr>
          <w:rFonts w:ascii="Century Gothic" w:hAnsi="Century Gothic"/>
        </w:rPr>
        <w:t>NAFI Nakouati, Premier adjoint au maire</w:t>
      </w: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rPr>
      </w:pPr>
      <w:r>
        <w:rPr>
          <w:rFonts w:ascii="Century Gothic" w:hAnsi="Century Gothic"/>
          <w:b/>
        </w:rPr>
        <w:t>Contact(s) téléphonique(s) :</w:t>
      </w:r>
      <w:r>
        <w:rPr>
          <w:rFonts w:ascii="Century Gothic" w:hAnsi="Century Gothic"/>
        </w:rPr>
        <w:t xml:space="preserve"> </w:t>
      </w:r>
      <w:r>
        <w:rPr>
          <w:rFonts w:ascii="Century Gothic" w:hAnsi="Century Gothic"/>
        </w:rPr>
        <w:t>+226 70 23 67 12</w:t>
      </w:r>
    </w:p>
    <w:p>
      <w:pPr>
        <w:pStyle w:val="style0"/>
        <w:tabs>
          <w:tab w:val="left" w:leader="none" w:pos="9214"/>
          <w:tab w:val="left" w:leader="none" w:pos="9639"/>
        </w:tabs>
        <w:jc w:val="both"/>
        <w:rPr>
          <w:rFonts w:ascii="Century Gothic" w:hAnsi="Century Gothic"/>
          <w:b/>
        </w:rPr>
      </w:pPr>
    </w:p>
    <w:bookmarkStart w:id="6" w:name="_Toc82333833"/>
    <w:p>
      <w:pPr>
        <w:pStyle w:val="style34"/>
        <w:rPr>
          <w:rFonts w:ascii="Century Gothic" w:hAnsi="Century Gothic"/>
          <w:b w:val="false"/>
          <w:color w:val="auto"/>
          <w:sz w:val="22"/>
          <w:szCs w:val="22"/>
        </w:rPr>
      </w:pPr>
      <w:r>
        <w:rPr>
          <w:rFonts w:ascii="Century Gothic" w:hAnsi="Century Gothic"/>
          <w:color w:val="auto"/>
          <w:sz w:val="22"/>
          <w:szCs w:val="22"/>
        </w:rPr>
        <w:t xml:space="preserve">Tableau </w:t>
      </w:r>
      <w:r>
        <w:rPr>
          <w:rFonts w:ascii="Century Gothic" w:hAnsi="Century Gothic"/>
          <w:color w:val="auto"/>
          <w:sz w:val="22"/>
          <w:szCs w:val="22"/>
        </w:rPr>
        <w:fldChar w:fldCharType="begin"/>
      </w:r>
      <w:r>
        <w:rPr>
          <w:rFonts w:ascii="Century Gothic" w:hAnsi="Century Gothic"/>
          <w:color w:val="auto"/>
          <w:sz w:val="22"/>
          <w:szCs w:val="22"/>
        </w:rPr>
        <w:instrText xml:space="preserve"> SEQ Tableau \* ROMAN </w:instrText>
      </w:r>
      <w:r>
        <w:rPr>
          <w:rFonts w:ascii="Century Gothic" w:hAnsi="Century Gothic"/>
          <w:color w:val="auto"/>
          <w:sz w:val="22"/>
          <w:szCs w:val="22"/>
        </w:rPr>
        <w:fldChar w:fldCharType="separate"/>
      </w:r>
      <w:r>
        <w:rPr>
          <w:rFonts w:ascii="Century Gothic" w:hAnsi="Century Gothic"/>
          <w:noProof/>
          <w:color w:val="auto"/>
          <w:sz w:val="22"/>
          <w:szCs w:val="22"/>
        </w:rPr>
        <w:t>I</w:t>
      </w:r>
      <w:r>
        <w:rPr>
          <w:rFonts w:ascii="Century Gothic" w:hAnsi="Century Gothic"/>
          <w:color w:val="auto"/>
          <w:sz w:val="22"/>
          <w:szCs w:val="22"/>
        </w:rPr>
        <w:fldChar w:fldCharType="end"/>
      </w:r>
      <w:r>
        <w:rPr>
          <w:rFonts w:ascii="Century Gothic" w:hAnsi="Century Gothic"/>
          <w:color w:val="auto"/>
          <w:sz w:val="22"/>
          <w:szCs w:val="22"/>
        </w:rPr>
        <w:t>: Récapitulatif des financements du PDIC / REDD + de Tiébélé</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1"/>
        <w:gridCol w:w="2532"/>
        <w:gridCol w:w="2083"/>
        <w:gridCol w:w="2156"/>
      </w:tblGrid>
      <w:tr>
        <w:trPr/>
        <w:tc>
          <w:tcPr>
            <w:tcW w:w="1489" w:type="pct"/>
            <w:tcBorders/>
            <w:shd w:val="clear" w:color="auto" w:fill="auto"/>
          </w:tcPr>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rPr>
            </w:pPr>
            <w:r>
              <w:rPr>
                <w:rFonts w:ascii="Century Gothic" w:hAnsi="Century Gothic"/>
                <w:b/>
              </w:rPr>
              <w:t>FINANCEMENT</w:t>
            </w:r>
          </w:p>
          <w:p>
            <w:pPr>
              <w:pStyle w:val="style0"/>
              <w:tabs>
                <w:tab w:val="left" w:leader="none" w:pos="9214"/>
                <w:tab w:val="left" w:leader="none" w:pos="9639"/>
              </w:tabs>
              <w:jc w:val="both"/>
              <w:rPr>
                <w:rFonts w:ascii="Century Gothic" w:hAnsi="Century Gothic"/>
                <w:b/>
              </w:rPr>
            </w:pPr>
          </w:p>
        </w:tc>
        <w:tc>
          <w:tcPr>
            <w:tcW w:w="1313" w:type="pct"/>
            <w:tcBorders/>
            <w:shd w:val="clear" w:color="auto" w:fill="auto"/>
          </w:tcPr>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center"/>
              <w:rPr>
                <w:rFonts w:ascii="Century Gothic" w:hAnsi="Century Gothic"/>
                <w:b/>
              </w:rPr>
            </w:pPr>
            <w:r>
              <w:rPr>
                <w:rFonts w:ascii="Century Gothic" w:hAnsi="Century Gothic"/>
                <w:b/>
              </w:rPr>
              <w:t>MONTANT (FCFA)</w:t>
            </w:r>
          </w:p>
        </w:tc>
        <w:tc>
          <w:tcPr>
            <w:tcW w:w="1080" w:type="pct"/>
            <w:tcBorders/>
          </w:tcPr>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center"/>
              <w:rPr>
                <w:rFonts w:ascii="Century Gothic" w:hAnsi="Century Gothic"/>
                <w:b/>
              </w:rPr>
            </w:pPr>
            <w:r>
              <w:rPr>
                <w:rFonts w:ascii="Century Gothic" w:hAnsi="Century Gothic"/>
                <w:b/>
              </w:rPr>
              <w:t>MONTANT (US$)</w:t>
            </w:r>
            <w:r>
              <w:rPr>
                <w:rStyle w:val="style38"/>
                <w:rFonts w:ascii="Century Gothic" w:hAnsi="Century Gothic"/>
                <w:b/>
              </w:rPr>
              <w:footnoteReference w:id="1"/>
            </w:r>
          </w:p>
        </w:tc>
        <w:tc>
          <w:tcPr>
            <w:tcW w:w="1118" w:type="pct"/>
            <w:tcBorders/>
            <w:shd w:val="clear" w:color="auto" w:fill="auto"/>
          </w:tcPr>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center"/>
              <w:rPr>
                <w:rFonts w:ascii="Century Gothic" w:hAnsi="Century Gothic"/>
                <w:b/>
              </w:rPr>
            </w:pPr>
            <w:r>
              <w:rPr>
                <w:rFonts w:ascii="Century Gothic" w:hAnsi="Century Gothic"/>
                <w:b/>
              </w:rPr>
              <w:t>POURCENTAGE (%)</w:t>
            </w:r>
          </w:p>
        </w:tc>
      </w:tr>
      <w:tr>
        <w:tblPrEx/>
        <w:trPr>
          <w:trHeight w:val="385" w:hRule="atLeast"/>
        </w:trPr>
        <w:tc>
          <w:tcPr>
            <w:tcW w:w="1489" w:type="pct"/>
            <w:tcBorders/>
            <w:shd w:val="clear" w:color="auto" w:fill="auto"/>
          </w:tcPr>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
              </w:rPr>
            </w:pPr>
            <w:r>
              <w:rPr>
                <w:rFonts w:ascii="Century Gothic" w:hAnsi="Century Gothic"/>
                <w:b/>
              </w:rPr>
              <w:t xml:space="preserve">Financement </w:t>
            </w:r>
            <w:r>
              <w:rPr>
                <w:rFonts w:ascii="Century Gothic" w:hAnsi="Century Gothic"/>
                <w:b/>
              </w:rPr>
              <w:t>recherché</w:t>
            </w:r>
          </w:p>
          <w:p>
            <w:pPr>
              <w:pStyle w:val="style0"/>
              <w:tabs>
                <w:tab w:val="left" w:leader="none" w:pos="9214"/>
                <w:tab w:val="left" w:leader="none" w:pos="9639"/>
              </w:tabs>
              <w:jc w:val="both"/>
              <w:rPr>
                <w:rFonts w:ascii="Century Gothic" w:hAnsi="Century Gothic"/>
              </w:rPr>
            </w:pPr>
          </w:p>
        </w:tc>
        <w:tc>
          <w:tcPr>
            <w:tcW w:w="1313" w:type="pct"/>
            <w:tcBorders/>
            <w:shd w:val="clear" w:color="auto" w:fill="auto"/>
            <w:vAlign w:val="center"/>
          </w:tcPr>
          <w:p>
            <w:pPr>
              <w:pStyle w:val="style0"/>
              <w:tabs>
                <w:tab w:val="left" w:leader="none" w:pos="930"/>
                <w:tab w:val="center" w:leader="none" w:pos="1557"/>
                <w:tab w:val="left" w:leader="none" w:pos="9214"/>
                <w:tab w:val="left" w:leader="none" w:pos="9639"/>
              </w:tabs>
              <w:jc w:val="center"/>
              <w:rPr>
                <w:rFonts w:ascii="Century Gothic" w:hAnsi="Century Gothic"/>
              </w:rPr>
            </w:pPr>
            <w:r>
              <w:rPr>
                <w:rFonts w:ascii="Century Gothic" w:cs="Calibri" w:hAnsi="Century Gothic"/>
                <w:bCs/>
                <w:color w:val="000000"/>
                <w:sz w:val="22"/>
                <w:szCs w:val="22"/>
              </w:rPr>
              <w:t>142 092 250</w:t>
            </w:r>
          </w:p>
        </w:tc>
        <w:tc>
          <w:tcPr>
            <w:tcW w:w="1080" w:type="pct"/>
            <w:tcBorders/>
            <w:vAlign w:val="center"/>
          </w:tcPr>
          <w:p>
            <w:pPr>
              <w:pStyle w:val="style0"/>
              <w:tabs>
                <w:tab w:val="left" w:leader="none" w:pos="9214"/>
                <w:tab w:val="left" w:leader="none" w:pos="9639"/>
              </w:tabs>
              <w:jc w:val="center"/>
              <w:rPr>
                <w:rFonts w:ascii="Century Gothic" w:hAnsi="Century Gothic"/>
                <w:b/>
              </w:rPr>
            </w:pPr>
            <w:r>
              <w:rPr>
                <w:rFonts w:ascii="Century Gothic" w:cs="Calibri" w:hAnsi="Century Gothic"/>
                <w:color w:val="000000"/>
                <w:sz w:val="22"/>
                <w:szCs w:val="22"/>
              </w:rPr>
              <w:t>271 957,30</w:t>
            </w:r>
          </w:p>
        </w:tc>
        <w:tc>
          <w:tcPr>
            <w:tcW w:w="1118" w:type="pct"/>
            <w:tcBorders/>
            <w:shd w:val="clear" w:color="auto" w:fill="auto"/>
            <w:vAlign w:val="center"/>
          </w:tcPr>
          <w:p>
            <w:pPr>
              <w:pStyle w:val="style0"/>
              <w:tabs>
                <w:tab w:val="left" w:leader="none" w:pos="9214"/>
                <w:tab w:val="left" w:leader="none" w:pos="9639"/>
              </w:tabs>
              <w:jc w:val="center"/>
              <w:rPr>
                <w:rFonts w:ascii="Century Gothic" w:hAnsi="Century Gothic"/>
              </w:rPr>
            </w:pPr>
            <w:r>
              <w:rPr>
                <w:rFonts w:ascii="Century Gothic" w:cs="Calibri" w:hAnsi="Century Gothic"/>
                <w:bCs/>
                <w:i/>
                <w:iCs/>
                <w:color w:val="000000"/>
                <w:sz w:val="22"/>
                <w:szCs w:val="22"/>
              </w:rPr>
              <w:t>84,10</w:t>
            </w:r>
          </w:p>
        </w:tc>
      </w:tr>
      <w:bookmarkStart w:id="7" w:name="_GoBack"/>
      <w:bookmarkEnd w:id="7"/>
      <w:tr>
        <w:tblPrEx/>
        <w:trPr>
          <w:trHeight w:val="256" w:hRule="atLeast"/>
        </w:trPr>
        <w:tc>
          <w:tcPr>
            <w:tcW w:w="1489" w:type="pct"/>
            <w:tcBorders/>
            <w:shd w:val="clear" w:color="auto" w:fill="auto"/>
          </w:tcPr>
          <w:p>
            <w:pPr>
              <w:pStyle w:val="style0"/>
              <w:tabs>
                <w:tab w:val="left" w:leader="none" w:pos="9214"/>
                <w:tab w:val="left" w:leader="none" w:pos="9639"/>
              </w:tabs>
              <w:jc w:val="both"/>
              <w:rPr>
                <w:rFonts w:ascii="Century Gothic" w:hAnsi="Century Gothic"/>
                <w:b/>
              </w:rPr>
            </w:pPr>
            <w:r>
              <w:rPr>
                <w:rFonts w:ascii="Century Gothic" w:hAnsi="Century Gothic"/>
                <w:b/>
              </w:rPr>
              <w:t>Contribution locale non financière</w:t>
            </w:r>
          </w:p>
        </w:tc>
        <w:tc>
          <w:tcPr>
            <w:tcW w:w="1313" w:type="pct"/>
            <w:tcBorders/>
            <w:shd w:val="clear" w:color="auto" w:fill="auto"/>
            <w:vAlign w:val="center"/>
          </w:tcPr>
          <w:p>
            <w:pPr>
              <w:pStyle w:val="style0"/>
              <w:tabs>
                <w:tab w:val="left" w:leader="none" w:pos="9214"/>
                <w:tab w:val="left" w:leader="none" w:pos="9639"/>
              </w:tabs>
              <w:jc w:val="center"/>
              <w:rPr>
                <w:rFonts w:ascii="Century Gothic" w:hAnsi="Century Gothic"/>
              </w:rPr>
            </w:pPr>
            <w:r>
              <w:rPr>
                <w:rFonts w:ascii="Century Gothic" w:cs="Calibri" w:hAnsi="Century Gothic"/>
                <w:bCs/>
                <w:color w:val="000000"/>
                <w:sz w:val="22"/>
                <w:szCs w:val="22"/>
              </w:rPr>
              <w:t>26 860 000</w:t>
            </w:r>
          </w:p>
        </w:tc>
        <w:tc>
          <w:tcPr>
            <w:tcW w:w="1080" w:type="pct"/>
            <w:tcBorders/>
            <w:vAlign w:val="center"/>
          </w:tcPr>
          <w:p>
            <w:pPr>
              <w:pStyle w:val="style0"/>
              <w:tabs>
                <w:tab w:val="left" w:leader="none" w:pos="9214"/>
                <w:tab w:val="left" w:leader="none" w:pos="9639"/>
              </w:tabs>
              <w:jc w:val="center"/>
              <w:rPr>
                <w:rFonts w:ascii="Century Gothic" w:hAnsi="Century Gothic"/>
              </w:rPr>
            </w:pPr>
            <w:r>
              <w:rPr>
                <w:rFonts w:ascii="Century Gothic" w:cs="Calibri" w:hAnsi="Century Gothic"/>
                <w:color w:val="000000"/>
                <w:sz w:val="22"/>
                <w:szCs w:val="22"/>
              </w:rPr>
              <w:t>51 408,67</w:t>
            </w:r>
          </w:p>
        </w:tc>
        <w:tc>
          <w:tcPr>
            <w:tcW w:w="1118" w:type="pct"/>
            <w:tcBorders/>
            <w:shd w:val="clear" w:color="auto" w:fill="auto"/>
            <w:vAlign w:val="center"/>
          </w:tcPr>
          <w:p>
            <w:pPr>
              <w:pStyle w:val="style0"/>
              <w:tabs>
                <w:tab w:val="left" w:leader="none" w:pos="9214"/>
                <w:tab w:val="left" w:leader="none" w:pos="9639"/>
              </w:tabs>
              <w:jc w:val="center"/>
              <w:rPr>
                <w:rFonts w:ascii="Century Gothic" w:hAnsi="Century Gothic"/>
              </w:rPr>
            </w:pPr>
            <w:r>
              <w:rPr>
                <w:rFonts w:ascii="Century Gothic" w:cs="Calibri" w:hAnsi="Century Gothic"/>
                <w:bCs/>
                <w:i/>
                <w:iCs/>
                <w:color w:val="000000"/>
                <w:sz w:val="22"/>
                <w:szCs w:val="22"/>
              </w:rPr>
              <w:t>15,90</w:t>
            </w:r>
          </w:p>
        </w:tc>
      </w:tr>
      <w:tr>
        <w:tblPrEx/>
        <w:trPr>
          <w:trHeight w:val="267" w:hRule="atLeast"/>
        </w:trPr>
        <w:tc>
          <w:tcPr>
            <w:tcW w:w="1489" w:type="pct"/>
            <w:tcBorders/>
            <w:shd w:val="clear" w:color="auto" w:fill="auto"/>
          </w:tcPr>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rPr>
            </w:pPr>
            <w:r>
              <w:rPr>
                <w:rFonts w:ascii="Century Gothic" w:hAnsi="Century Gothic"/>
                <w:b/>
              </w:rPr>
              <w:t>Coût total</w:t>
            </w:r>
          </w:p>
          <w:p>
            <w:pPr>
              <w:pStyle w:val="style0"/>
              <w:tabs>
                <w:tab w:val="left" w:leader="none" w:pos="9214"/>
                <w:tab w:val="left" w:leader="none" w:pos="9639"/>
              </w:tabs>
              <w:jc w:val="both"/>
              <w:rPr>
                <w:rFonts w:ascii="Century Gothic" w:hAnsi="Century Gothic"/>
                <w:b/>
              </w:rPr>
            </w:pPr>
          </w:p>
        </w:tc>
        <w:tc>
          <w:tcPr>
            <w:tcW w:w="1313" w:type="pct"/>
            <w:tcBorders/>
            <w:shd w:val="clear" w:color="auto" w:fill="auto"/>
            <w:vAlign w:val="center"/>
          </w:tcPr>
          <w:p>
            <w:pPr>
              <w:pStyle w:val="style0"/>
              <w:tabs>
                <w:tab w:val="left" w:leader="none" w:pos="9214"/>
                <w:tab w:val="left" w:leader="none" w:pos="9639"/>
              </w:tabs>
              <w:jc w:val="center"/>
              <w:rPr>
                <w:rFonts w:ascii="Century Gothic" w:hAnsi="Century Gothic"/>
              </w:rPr>
            </w:pPr>
            <w:r>
              <w:rPr>
                <w:rFonts w:ascii="Century Gothic" w:cs="Calibri" w:hAnsi="Century Gothic"/>
                <w:bCs/>
                <w:color w:val="000000"/>
                <w:sz w:val="22"/>
                <w:szCs w:val="22"/>
              </w:rPr>
              <w:t>168 952 250</w:t>
            </w:r>
          </w:p>
        </w:tc>
        <w:tc>
          <w:tcPr>
            <w:tcW w:w="1080" w:type="pct"/>
            <w:tcBorders/>
            <w:vAlign w:val="center"/>
          </w:tcPr>
          <w:p>
            <w:pPr>
              <w:pStyle w:val="style0"/>
              <w:tabs>
                <w:tab w:val="left" w:leader="none" w:pos="9214"/>
                <w:tab w:val="left" w:leader="none" w:pos="9639"/>
              </w:tabs>
              <w:jc w:val="center"/>
              <w:rPr>
                <w:rFonts w:ascii="Century Gothic" w:hAnsi="Century Gothic"/>
              </w:rPr>
            </w:pPr>
            <w:r>
              <w:rPr>
                <w:rFonts w:ascii="Century Gothic" w:cs="Calibri" w:hAnsi="Century Gothic"/>
                <w:color w:val="000000"/>
                <w:sz w:val="22"/>
                <w:szCs w:val="22"/>
              </w:rPr>
              <w:t>323 365,97</w:t>
            </w:r>
          </w:p>
        </w:tc>
        <w:tc>
          <w:tcPr>
            <w:tcW w:w="1118" w:type="pct"/>
            <w:tcBorders/>
            <w:shd w:val="clear" w:color="auto" w:fill="auto"/>
            <w:vAlign w:val="center"/>
          </w:tcPr>
          <w:p>
            <w:pPr>
              <w:pStyle w:val="style0"/>
              <w:tabs>
                <w:tab w:val="left" w:leader="none" w:pos="9214"/>
                <w:tab w:val="left" w:leader="none" w:pos="9639"/>
              </w:tabs>
              <w:jc w:val="center"/>
              <w:rPr>
                <w:rFonts w:ascii="Century Gothic" w:hAnsi="Century Gothic"/>
              </w:rPr>
            </w:pPr>
            <w:r>
              <w:rPr>
                <w:rFonts w:ascii="Century Gothic" w:hAnsi="Century Gothic"/>
              </w:rPr>
              <w:t>100</w:t>
            </w:r>
          </w:p>
        </w:tc>
      </w:tr>
    </w:tbl>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rPr>
          <w:rFonts w:ascii="Century Gothic" w:hAnsi="Century Gothic"/>
          <w:b/>
          <w:bCs/>
          <w:smallCaps/>
          <w:kern w:val="32"/>
          <w:u w:val="double"/>
        </w:rPr>
      </w:pPr>
      <w:r>
        <w:rPr>
          <w:rFonts w:ascii="Century Gothic" w:hAnsi="Century Gothic"/>
        </w:rPr>
        <w:br w:type="page"/>
      </w:r>
    </w:p>
    <w:p>
      <w:pPr>
        <w:pStyle w:val="style0"/>
        <w:tabs>
          <w:tab w:val="left" w:leader="none" w:pos="9214"/>
          <w:tab w:val="left" w:leader="none" w:pos="9639"/>
        </w:tabs>
        <w:rPr>
          <w:rFonts w:ascii="Century Gothic" w:hAnsi="Century Gothic"/>
          <w:b/>
          <w:bCs/>
          <w:smallCaps/>
          <w:kern w:val="32"/>
          <w:u w:val="double"/>
        </w:rPr>
      </w:pPr>
    </w:p>
    <w:p>
      <w:pPr>
        <w:pStyle w:val="style0"/>
        <w:tabs>
          <w:tab w:val="left" w:leader="none" w:pos="9214"/>
          <w:tab w:val="left" w:leader="none" w:pos="9639"/>
        </w:tabs>
        <w:rPr>
          <w:rFonts w:ascii="Century Gothic" w:hAnsi="Century Gothic"/>
          <w:b/>
          <w:bCs/>
          <w:smallCaps/>
          <w:kern w:val="32"/>
          <w:u w:val="double"/>
        </w:rPr>
      </w:pPr>
    </w:p>
    <w:bookmarkStart w:id="8" w:name="_Toc79938389"/>
    <w:bookmarkStart w:id="9" w:name="_Toc82046067"/>
    <w:p>
      <w:pPr>
        <w:pStyle w:val="style1"/>
        <w:numPr>
          <w:ilvl w:val="0"/>
          <w:numId w:val="0"/>
        </w:numPr>
        <w:tabs>
          <w:tab w:val="left" w:leader="none" w:pos="9214"/>
          <w:tab w:val="left" w:leader="none" w:pos="9639"/>
        </w:tabs>
        <w:spacing w:before="0" w:after="0"/>
        <w:rPr>
          <w:rFonts w:ascii="Century Gothic" w:hAnsi="Century Gothic"/>
          <w:sz w:val="24"/>
          <w:szCs w:val="24"/>
        </w:rPr>
      </w:pPr>
      <w:r>
        <w:rPr>
          <w:rFonts w:ascii="Century Gothic" w:hAnsi="Century Gothic"/>
          <w:sz w:val="24"/>
          <w:szCs w:val="24"/>
        </w:rPr>
        <w:t>II</w:t>
      </w:r>
      <w:r>
        <w:rPr>
          <w:rFonts w:ascii="Century Gothic" w:hAnsi="Century Gothic"/>
          <w:sz w:val="24"/>
          <w:szCs w:val="24"/>
        </w:rPr>
        <w:t>. Brève présentation de la commune</w:t>
      </w:r>
      <w:bookmarkEnd w:id="8"/>
      <w:bookmarkEnd w:id="9"/>
    </w:p>
    <w:p>
      <w:pPr>
        <w:pStyle w:val="style0"/>
        <w:tabs>
          <w:tab w:val="left" w:leader="none" w:pos="9214"/>
          <w:tab w:val="left" w:leader="none" w:pos="9639"/>
        </w:tabs>
        <w:jc w:val="both"/>
        <w:rPr>
          <w:rFonts w:ascii="Century Gothic" w:hAnsi="Century Gothic"/>
          <w:i/>
        </w:rPr>
      </w:pPr>
    </w:p>
    <w:p>
      <w:pPr>
        <w:pStyle w:val="style0"/>
        <w:tabs>
          <w:tab w:val="left" w:leader="none" w:pos="9214"/>
          <w:tab w:val="left" w:leader="none" w:pos="9639"/>
        </w:tabs>
        <w:jc w:val="both"/>
        <w:rPr>
          <w:rFonts w:ascii="Century Gothic" w:cs="Tahoma" w:hAnsi="Century Gothic"/>
        </w:rPr>
      </w:pPr>
      <w:r>
        <w:rPr>
          <w:rFonts w:ascii="Century Gothic" w:cs="Tahoma" w:hAnsi="Century Gothic"/>
        </w:rPr>
        <w:t>La commune rurale de Tiébelé est située dans la région du Centre-Sud. La commune relève administrativement de la province du Nahouri dont Pô en est le chef-lieu. Elle est située au Sud-est de Pô à environ 31 km. Elle est accessible par la Nationale 25 reliant Pô à Guelwongo, localité située à la frontière du Ghana.</w:t>
      </w:r>
    </w:p>
    <w:p>
      <w:pPr>
        <w:pStyle w:val="style0"/>
        <w:tabs>
          <w:tab w:val="left" w:leader="none" w:pos="9214"/>
          <w:tab w:val="left" w:leader="none" w:pos="9639"/>
        </w:tabs>
        <w:jc w:val="both"/>
        <w:rPr>
          <w:rFonts w:ascii="Century Gothic" w:cs="Tahoma" w:hAnsi="Century Gothic"/>
        </w:rPr>
      </w:pPr>
    </w:p>
    <w:p>
      <w:pPr>
        <w:pStyle w:val="style0"/>
        <w:tabs>
          <w:tab w:val="left" w:leader="none" w:pos="9214"/>
          <w:tab w:val="left" w:leader="none" w:pos="9639"/>
        </w:tabs>
        <w:jc w:val="both"/>
        <w:rPr>
          <w:rFonts w:ascii="Century Gothic" w:cs="Tahoma" w:hAnsi="Century Gothic"/>
        </w:rPr>
      </w:pPr>
      <w:r>
        <w:rPr>
          <w:rFonts w:ascii="Century Gothic" w:cs="Tahoma" w:hAnsi="Century Gothic"/>
        </w:rPr>
        <w:t xml:space="preserve"> La commune est localisée entre les méridiens 10° 59’58’’ et 11°12’53’’ de latitude Nord et les parallèles 0°47’27’’ et 1°04’ de longitude Ouest et s’étend sur une superficie totale de 381km². Elle est limitée :</w:t>
      </w:r>
    </w:p>
    <w:p>
      <w:pPr>
        <w:pStyle w:val="style0"/>
        <w:tabs>
          <w:tab w:val="left" w:leader="none" w:pos="9214"/>
          <w:tab w:val="left" w:leader="none" w:pos="9639"/>
        </w:tabs>
        <w:jc w:val="both"/>
        <w:rPr>
          <w:rFonts w:ascii="Century Gothic" w:cs="Tahoma" w:hAnsi="Century Gothic"/>
        </w:rPr>
      </w:pPr>
    </w:p>
    <w:p>
      <w:pPr>
        <w:pStyle w:val="style179"/>
        <w:numPr>
          <w:ilvl w:val="0"/>
          <w:numId w:val="2"/>
        </w:numPr>
        <w:tabs>
          <w:tab w:val="left" w:leader="none" w:pos="9214"/>
          <w:tab w:val="left" w:leader="none" w:pos="9639"/>
        </w:tabs>
        <w:jc w:val="both"/>
        <w:rPr>
          <w:rFonts w:ascii="Century Gothic" w:cs="Tahoma" w:hAnsi="Century Gothic"/>
        </w:rPr>
      </w:pPr>
      <w:r>
        <w:rPr>
          <w:rFonts w:ascii="Century Gothic" w:cs="Tahoma" w:hAnsi="Century Gothic"/>
        </w:rPr>
        <w:t xml:space="preserve">à l’Est par les communes rurales de Ziou et de </w:t>
      </w:r>
      <w:r>
        <w:rPr>
          <w:rFonts w:ascii="Century Gothic" w:cs="Tahoma" w:hAnsi="Century Gothic"/>
        </w:rPr>
        <w:t>Zecco </w:t>
      </w:r>
      <w:r>
        <w:rPr>
          <w:rFonts w:ascii="Century Gothic" w:cs="Tahoma" w:hAnsi="Century Gothic"/>
        </w:rPr>
        <w:t>;</w:t>
      </w:r>
    </w:p>
    <w:p>
      <w:pPr>
        <w:pStyle w:val="style179"/>
        <w:numPr>
          <w:ilvl w:val="0"/>
          <w:numId w:val="2"/>
        </w:numPr>
        <w:tabs>
          <w:tab w:val="left" w:leader="none" w:pos="9214"/>
          <w:tab w:val="left" w:leader="none" w:pos="9639"/>
        </w:tabs>
        <w:jc w:val="both"/>
        <w:rPr>
          <w:rFonts w:ascii="Century Gothic" w:cs="Tahoma" w:hAnsi="Century Gothic"/>
        </w:rPr>
      </w:pPr>
      <w:r>
        <w:rPr>
          <w:rFonts w:ascii="Century Gothic" w:cs="Tahoma" w:hAnsi="Century Gothic"/>
        </w:rPr>
        <w:t>à l’Ouest par la commune urbaine de Pô ;</w:t>
      </w:r>
    </w:p>
    <w:p>
      <w:pPr>
        <w:pStyle w:val="style179"/>
        <w:numPr>
          <w:ilvl w:val="0"/>
          <w:numId w:val="2"/>
        </w:numPr>
        <w:tabs>
          <w:tab w:val="left" w:leader="none" w:pos="9214"/>
          <w:tab w:val="left" w:leader="none" w:pos="9639"/>
        </w:tabs>
        <w:jc w:val="both"/>
        <w:rPr>
          <w:rFonts w:ascii="Century Gothic" w:cs="Tahoma" w:hAnsi="Century Gothic"/>
        </w:rPr>
      </w:pPr>
      <w:r>
        <w:rPr>
          <w:rFonts w:ascii="Century Gothic" w:cs="Tahoma" w:hAnsi="Century Gothic"/>
        </w:rPr>
        <w:t>au Nord par la commune rurale de Gomboussougou ;</w:t>
      </w:r>
    </w:p>
    <w:p>
      <w:pPr>
        <w:pStyle w:val="style179"/>
        <w:numPr>
          <w:ilvl w:val="0"/>
          <w:numId w:val="2"/>
        </w:numPr>
        <w:tabs>
          <w:tab w:val="left" w:leader="none" w:pos="9214"/>
          <w:tab w:val="left" w:leader="none" w:pos="9639"/>
        </w:tabs>
        <w:jc w:val="both"/>
        <w:rPr>
          <w:rFonts w:ascii="Century Gothic" w:cs="Tahoma" w:hAnsi="Century Gothic"/>
        </w:rPr>
      </w:pPr>
      <w:r>
        <w:rPr>
          <w:rFonts w:ascii="Century Gothic" w:cs="Tahoma" w:hAnsi="Century Gothic"/>
        </w:rPr>
        <w:t>au Sud par la république du Ghana.</w:t>
      </w:r>
    </w:p>
    <w:p>
      <w:pPr>
        <w:pStyle w:val="style0"/>
        <w:tabs>
          <w:tab w:val="left" w:leader="none" w:pos="9214"/>
          <w:tab w:val="left" w:leader="none" w:pos="9639"/>
        </w:tabs>
        <w:jc w:val="both"/>
        <w:rPr>
          <w:rFonts w:ascii="Century Gothic" w:cs="Tahoma" w:hAnsi="Century Gothic"/>
        </w:rPr>
      </w:pPr>
    </w:p>
    <w:p>
      <w:pPr>
        <w:pStyle w:val="style0"/>
        <w:tabs>
          <w:tab w:val="left" w:leader="none" w:pos="9214"/>
          <w:tab w:val="left" w:leader="none" w:pos="9639"/>
        </w:tabs>
        <w:jc w:val="both"/>
        <w:rPr>
          <w:rFonts w:ascii="Century Gothic" w:cs="Tahoma" w:hAnsi="Century Gothic"/>
        </w:rPr>
      </w:pPr>
    </w:p>
    <w:p>
      <w:pPr>
        <w:pStyle w:val="style0"/>
        <w:tabs>
          <w:tab w:val="left" w:leader="none" w:pos="9214"/>
          <w:tab w:val="left" w:leader="none" w:pos="9639"/>
        </w:tabs>
        <w:jc w:val="both"/>
        <w:rPr>
          <w:rFonts w:ascii="Century Gothic" w:cs="Tahoma" w:hAnsi="Century Gothic"/>
        </w:rPr>
      </w:pPr>
      <w:r>
        <w:rPr>
          <w:rFonts w:ascii="Century Gothic" w:cs="Tahoma" w:hAnsi="Century Gothic"/>
        </w:rPr>
        <w:t xml:space="preserve">La commune  de Tiébélé compte 67 villages répartis sur le territoire coïncidant avec le Département (Cf. carte administrative ci-après). </w:t>
      </w:r>
      <w:r>
        <w:rPr>
          <w:rFonts w:ascii="Century Gothic" w:cs="Tahoma" w:hAnsi="Century Gothic"/>
        </w:rPr>
        <w:t xml:space="preserve">Tiébélé le chef-lieu de la commune est structuré en 11 secteurs. </w:t>
      </w:r>
      <w:r>
        <w:rPr>
          <w:rFonts w:ascii="Century Gothic" w:cs="Tahoma" w:hAnsi="Century Gothic"/>
        </w:rPr>
        <w:t xml:space="preserve">La distance minimale qui sépare le chef-lieu de la commune des différents villages est d’environ </w:t>
      </w:r>
      <w:r>
        <w:rPr>
          <w:rFonts w:ascii="Century Gothic" w:cs="Tahoma" w:hAnsi="Century Gothic"/>
        </w:rPr>
        <w:t>10 Km</w:t>
      </w:r>
      <w:r>
        <w:rPr>
          <w:rFonts w:ascii="Century Gothic" w:cs="Tahoma" w:hAnsi="Century Gothic"/>
        </w:rPr>
        <w:t xml:space="preserve"> et une distance maximale avoisinant </w:t>
      </w:r>
      <w:r>
        <w:rPr>
          <w:rFonts w:ascii="Century Gothic" w:cs="Tahoma" w:hAnsi="Century Gothic"/>
        </w:rPr>
        <w:t>25 Km</w:t>
      </w:r>
      <w:r>
        <w:rPr>
          <w:rFonts w:ascii="Century Gothic" w:cs="Tahoma" w:hAnsi="Century Gothic"/>
        </w:rPr>
        <w:t xml:space="preserve">. </w:t>
      </w:r>
    </w:p>
    <w:p>
      <w:pPr>
        <w:pStyle w:val="style0"/>
        <w:tabs>
          <w:tab w:val="left" w:leader="none" w:pos="9214"/>
          <w:tab w:val="left" w:leader="none" w:pos="9639"/>
        </w:tabs>
        <w:jc w:val="both"/>
        <w:rPr>
          <w:rFonts w:ascii="Century Gothic" w:cs="Tahoma" w:hAnsi="Century Gothic"/>
        </w:rPr>
      </w:pPr>
    </w:p>
    <w:p>
      <w:pPr>
        <w:pStyle w:val="style0"/>
        <w:tabs>
          <w:tab w:val="left" w:leader="none" w:pos="9214"/>
          <w:tab w:val="left" w:leader="none" w:pos="9639"/>
        </w:tabs>
        <w:jc w:val="both"/>
        <w:rPr>
          <w:rFonts w:ascii="Century Gothic" w:cs="Tahoma" w:hAnsi="Century Gothic"/>
        </w:rPr>
      </w:pPr>
      <w:r>
        <w:rPr>
          <w:rFonts w:ascii="Century Gothic" w:cs="Tahoma" w:hAnsi="Century Gothic"/>
        </w:rPr>
        <w:t xml:space="preserve">Tiébélé, chef-lieu de la commune, ne dispose pas d’un réseau de voirie ; cependant, un plan de lotissement du chef-lieu existe depuis 1989 mais le traçage des voies ne s’observe pas encore sur le paysage urbain. Toutefois le chef-lieu de commune est traversé par la route nationale n°25 qui relie Pô à la frontière du Ghana. En outre des pistes rurales reliant Tiébélé à certaines localités de la commune, notamment l’axe Tiébélé - Kaya en cours de construction et la route Tiébélé croisement Tiébélé - Boungou en réfection complètent la voirie du chef-lieu. </w:t>
      </w:r>
    </w:p>
    <w:p>
      <w:pPr>
        <w:pStyle w:val="style0"/>
        <w:spacing w:after="160" w:lineRule="auto" w:line="259"/>
        <w:rPr>
          <w:rFonts w:ascii="Century Gothic" w:hAnsi="Century Gothic"/>
          <w:iCs/>
        </w:rPr>
      </w:pPr>
      <w:r>
        <w:rPr>
          <w:rFonts w:ascii="Century Gothic" w:hAnsi="Century Gothic"/>
          <w:iCs/>
        </w:rPr>
        <w:br w:type="page"/>
      </w:r>
    </w:p>
    <w:p>
      <w:pPr>
        <w:pStyle w:val="style0"/>
        <w:tabs>
          <w:tab w:val="left" w:leader="none" w:pos="9214"/>
          <w:tab w:val="left" w:leader="none" w:pos="9639"/>
        </w:tabs>
        <w:jc w:val="both"/>
        <w:rPr>
          <w:rFonts w:ascii="Century Gothic" w:hAnsi="Century Gothic"/>
          <w:iCs/>
        </w:rPr>
      </w:pPr>
    </w:p>
    <w:p>
      <w:pPr>
        <w:pStyle w:val="style0"/>
        <w:tabs>
          <w:tab w:val="left" w:leader="none" w:pos="9214"/>
          <w:tab w:val="left" w:leader="none" w:pos="9639"/>
        </w:tabs>
        <w:jc w:val="center"/>
        <w:rPr>
          <w:rFonts w:ascii="Century Gothic" w:hAnsi="Century Gothic"/>
          <w:iCs/>
        </w:rPr>
      </w:pPr>
      <w:r>
        <w:rPr>
          <w:rFonts w:ascii="Century Gothic" w:hAnsi="Century Gothic"/>
          <w:iCs/>
          <w:noProof/>
        </w:rPr>
        <w:drawing>
          <wp:inline distL="0" distT="0" distB="0" distR="0">
            <wp:extent cx="6038850" cy="8541094"/>
            <wp:effectExtent l="0" t="0" r="0" b="0"/>
            <wp:docPr id="1027" name="Image 7" descr="F:\SIG\Consultation\GaMoWigna\Tiebele\Localisation_commune_Tiebele.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7"/>
                    <pic:cNvPicPr/>
                  </pic:nvPicPr>
                  <pic:blipFill>
                    <a:blip r:embed="rId4" cstate="print"/>
                    <a:srcRect l="0" t="0" r="0" b="0"/>
                    <a:stretch/>
                  </pic:blipFill>
                  <pic:spPr>
                    <a:xfrm rot="0">
                      <a:off x="0" y="0"/>
                      <a:ext cx="6038850" cy="8541094"/>
                    </a:xfrm>
                    <a:prstGeom prst="rect"/>
                    <a:ln>
                      <a:noFill/>
                    </a:ln>
                  </pic:spPr>
                </pic:pic>
              </a:graphicData>
            </a:graphic>
          </wp:inline>
        </w:drawing>
      </w:r>
    </w:p>
    <w:bookmarkStart w:id="10" w:name="_Toc82046045"/>
    <w:p>
      <w:pPr>
        <w:pStyle w:val="style34"/>
        <w:jc w:val="center"/>
        <w:rPr>
          <w:rFonts w:ascii="Century Gothic" w:hAnsi="Century Gothic"/>
          <w:iCs/>
          <w:sz w:val="20"/>
          <w:szCs w:val="20"/>
        </w:rPr>
      </w:pPr>
      <w:r>
        <w:rPr>
          <w:rFonts w:ascii="Century Gothic" w:hAnsi="Century Gothic"/>
          <w:color w:val="auto"/>
          <w:sz w:val="20"/>
          <w:szCs w:val="20"/>
        </w:rPr>
        <w:t xml:space="preserve">Figure </w:t>
      </w:r>
      <w:r>
        <w:rPr>
          <w:rFonts w:ascii="Century Gothic" w:hAnsi="Century Gothic"/>
          <w:color w:val="auto"/>
          <w:sz w:val="20"/>
          <w:szCs w:val="20"/>
        </w:rPr>
        <w:fldChar w:fldCharType="begin"/>
      </w:r>
      <w:r>
        <w:rPr>
          <w:rFonts w:ascii="Century Gothic" w:hAnsi="Century Gothic"/>
          <w:color w:val="auto"/>
          <w:sz w:val="20"/>
          <w:szCs w:val="20"/>
        </w:rPr>
        <w:instrText xml:space="preserve"> SEQ Figure \* ARABIC </w:instrText>
      </w:r>
      <w:r>
        <w:rPr>
          <w:rFonts w:ascii="Century Gothic" w:hAnsi="Century Gothic"/>
          <w:color w:val="auto"/>
          <w:sz w:val="20"/>
          <w:szCs w:val="20"/>
        </w:rPr>
        <w:fldChar w:fldCharType="separate"/>
      </w:r>
      <w:r>
        <w:rPr>
          <w:rFonts w:ascii="Century Gothic" w:hAnsi="Century Gothic"/>
          <w:noProof/>
          <w:color w:val="auto"/>
          <w:sz w:val="20"/>
          <w:szCs w:val="20"/>
        </w:rPr>
        <w:t>1</w:t>
      </w:r>
      <w:r>
        <w:rPr>
          <w:rFonts w:ascii="Century Gothic" w:hAnsi="Century Gothic"/>
          <w:color w:val="auto"/>
          <w:sz w:val="20"/>
          <w:szCs w:val="20"/>
        </w:rPr>
        <w:fldChar w:fldCharType="end"/>
      </w:r>
      <w:r>
        <w:rPr>
          <w:rFonts w:ascii="Century Gothic" w:hAnsi="Century Gothic"/>
          <w:color w:val="auto"/>
          <w:sz w:val="20"/>
          <w:szCs w:val="20"/>
        </w:rPr>
        <w:t>: Localisation de la commune de Tiébélé</w:t>
      </w:r>
      <w:bookmarkEnd w:id="10"/>
    </w:p>
    <w:p>
      <w:pPr>
        <w:pStyle w:val="style0"/>
        <w:tabs>
          <w:tab w:val="left" w:leader="none" w:pos="9214"/>
          <w:tab w:val="left" w:leader="none" w:pos="9639"/>
        </w:tabs>
        <w:jc w:val="both"/>
        <w:rPr>
          <w:rFonts w:ascii="Century Gothic" w:cs="Tahoma" w:hAnsi="Century Gothic"/>
        </w:rPr>
      </w:pPr>
      <w:r>
        <w:rPr>
          <w:rFonts w:ascii="Century Gothic" w:cs="Tahoma" w:hAnsi="Century Gothic"/>
        </w:rPr>
        <w:t xml:space="preserve">Les processus de pédogenèse dominants dans la zone sont de types ferrugineux. Ces processus y ont mis en place des sols majoritairement ferrugineux tropicaux peu lessivés et lessivés, et des sols peu évolués. L’horizon pédologique est donc dominé par les sols suivants : </w:t>
      </w:r>
    </w:p>
    <w:p>
      <w:pPr>
        <w:pStyle w:val="style179"/>
        <w:tabs>
          <w:tab w:val="left" w:leader="none" w:pos="9214"/>
          <w:tab w:val="left" w:leader="none" w:pos="9639"/>
        </w:tabs>
        <w:ind w:left="0"/>
        <w:jc w:val="both"/>
        <w:rPr>
          <w:rFonts w:ascii="Century Gothic" w:cs="Tahoma" w:hAnsi="Century Gothic"/>
        </w:rPr>
      </w:pPr>
      <w:r>
        <w:rPr>
          <w:rFonts w:ascii="Century Gothic" w:cs="Tahoma" w:hAnsi="Century Gothic"/>
          <w:b/>
          <w:bCs/>
        </w:rPr>
        <w:t xml:space="preserve">  </w:t>
      </w:r>
    </w:p>
    <w:p>
      <w:pPr>
        <w:pStyle w:val="style179"/>
        <w:numPr>
          <w:ilvl w:val="0"/>
          <w:numId w:val="4"/>
        </w:numPr>
        <w:tabs>
          <w:tab w:val="left" w:leader="none" w:pos="9214"/>
          <w:tab w:val="left" w:leader="none" w:pos="9639"/>
        </w:tabs>
        <w:jc w:val="both"/>
        <w:rPr>
          <w:rFonts w:ascii="Century Gothic" w:cs="Tahoma" w:hAnsi="Century Gothic"/>
        </w:rPr>
      </w:pPr>
      <w:r>
        <w:rPr>
          <w:rFonts w:ascii="Century Gothic" w:cs="Tahoma" w:hAnsi="Century Gothic"/>
        </w:rPr>
        <w:t xml:space="preserve">les </w:t>
      </w:r>
      <w:r>
        <w:rPr>
          <w:rFonts w:ascii="Century Gothic" w:cs="Tahoma" w:hAnsi="Century Gothic"/>
          <w:b/>
          <w:bCs/>
        </w:rPr>
        <w:t xml:space="preserve">sols bruns eutrophes et les vertisols qui se sont développés  dans </w:t>
      </w:r>
      <w:r>
        <w:rPr>
          <w:rFonts w:ascii="Century Gothic" w:cs="Tahoma" w:hAnsi="Century Gothic"/>
        </w:rPr>
        <w:t xml:space="preserve">les vallées et dépressions où s’accumulent des matériaux d’apports divers. Ces sols se caractérisent par un humus à forte activité biologique. Ils sont profonds (&gt;120cm) avec une texture limono-argileux. L’argile qui les constitue est de type  montmorillonite. Dans les vertisols, cette proportion d’argile est beaucoup plus élevée (&gt;30%). Ces sols de moindre superficie localisés dans les dépressions, ont résulté du processus de pédogenèse vertique. Ces deux types de sols sont chimiquement les plus riches. Mais leur mise en valeur est entravée par leur texture lourde surtout les vertisols. Leur exploitation nécessite l’utilisation de moyens mécaniques. Ils présentent une bonne valeur agronomique pour la culture du maïs et du sorgho.  </w:t>
      </w:r>
    </w:p>
    <w:p>
      <w:pPr>
        <w:pStyle w:val="style66"/>
        <w:numPr>
          <w:ilvl w:val="0"/>
          <w:numId w:val="3"/>
        </w:numPr>
        <w:tabs>
          <w:tab w:val="left" w:leader="none" w:pos="9214"/>
          <w:tab w:val="left" w:leader="none" w:pos="9639"/>
        </w:tabs>
        <w:rPr>
          <w:rFonts w:ascii="Century Gothic" w:cs="Tahoma" w:hAnsi="Century Gothic"/>
        </w:rPr>
      </w:pPr>
      <w:r>
        <w:rPr>
          <w:rFonts w:ascii="Century Gothic" w:cs="Tahoma" w:hAnsi="Century Gothic"/>
        </w:rPr>
        <w:t xml:space="preserve">Les </w:t>
      </w:r>
      <w:r>
        <w:rPr>
          <w:rFonts w:ascii="Century Gothic" w:cs="Tahoma" w:hAnsi="Century Gothic"/>
          <w:b/>
          <w:bCs/>
        </w:rPr>
        <w:t>sols hydromorphes :</w:t>
      </w:r>
      <w:r>
        <w:rPr>
          <w:rFonts w:ascii="Century Gothic" w:cs="Tahoma" w:hAnsi="Century Gothic"/>
          <w:bCs/>
        </w:rPr>
        <w:t xml:space="preserve"> ces sols</w:t>
      </w:r>
      <w:r>
        <w:rPr>
          <w:rFonts w:ascii="Century Gothic" w:cs="Tahoma" w:hAnsi="Century Gothic"/>
          <w:b/>
          <w:bCs/>
        </w:rPr>
        <w:t xml:space="preserve">, </w:t>
      </w:r>
      <w:r>
        <w:rPr>
          <w:rFonts w:ascii="Century Gothic" w:cs="Tahoma" w:hAnsi="Century Gothic"/>
        </w:rPr>
        <w:t>de couleur gris à gris clair sont profonds (&gt;120cm). Leur texture est fine, argilo-limoneuse à argileuse. Le taux de concrétion ferro-maganique est faible. Ces sols se caractérisent par une forte teneur en argile. Ils ont une capacité de rétention en eau très élevée faisant d’eux des sols lourds. Ils sont beaucoup plus favorables à la riziculture pluviale ou irriguée. Il en est de même pour les cultures maraîchères et les patates douces en fins de saison pluvieuse.</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cs="Tahoma" w:hAnsi="Century Gothic"/>
        </w:rPr>
      </w:pPr>
      <w:r>
        <w:rPr>
          <w:rFonts w:ascii="Century Gothic" w:cs="Tahoma" w:hAnsi="Century Gothic"/>
        </w:rPr>
        <w:t xml:space="preserve">La végétation dans la commune est du type savane arborée en général. Les principales espèces existantes qui constituent la strate arborescente sont </w:t>
      </w:r>
      <w:r>
        <w:rPr>
          <w:rFonts w:ascii="Century Gothic" w:cs="Tahoma" w:hAnsi="Century Gothic"/>
          <w:i/>
          <w:iCs/>
        </w:rPr>
        <w:t>Vitellaria paradoxa, Parkia biglobosa, Lan</w:t>
      </w:r>
      <w:r>
        <w:rPr>
          <w:rFonts w:ascii="Century Gothic" w:cs="Tahoma" w:hAnsi="Century Gothic"/>
          <w:i/>
          <w:iCs/>
        </w:rPr>
        <w:t>n</w:t>
      </w:r>
      <w:r>
        <w:rPr>
          <w:rFonts w:ascii="Century Gothic" w:cs="Tahoma" w:hAnsi="Century Gothic"/>
          <w:i/>
          <w:iCs/>
        </w:rPr>
        <w:t xml:space="preserve">ea microcarpa, Andasonia digitata,Tamarindus indica, </w:t>
      </w:r>
      <w:r>
        <w:rPr>
          <w:rFonts w:ascii="Century Gothic" w:cs="Tahoma" w:hAnsi="Century Gothic"/>
          <w:i/>
          <w:iCs/>
        </w:rPr>
        <w:t xml:space="preserve">Faidherbia </w:t>
      </w:r>
      <w:r>
        <w:rPr>
          <w:rFonts w:ascii="Century Gothic" w:cs="Tahoma" w:hAnsi="Century Gothic"/>
          <w:i/>
          <w:iCs/>
        </w:rPr>
        <w:t>albida</w:t>
      </w:r>
      <w:r>
        <w:rPr>
          <w:rFonts w:ascii="Century Gothic" w:cs="Tahoma" w:hAnsi="Century Gothic"/>
        </w:rPr>
        <w:t>, etc. On observe des différences d’une zone à l’autre.</w:t>
      </w:r>
    </w:p>
    <w:p>
      <w:pPr>
        <w:pStyle w:val="style0"/>
        <w:tabs>
          <w:tab w:val="left" w:leader="none" w:pos="9214"/>
          <w:tab w:val="left" w:leader="none" w:pos="9639"/>
        </w:tabs>
        <w:jc w:val="both"/>
        <w:rPr>
          <w:rFonts w:ascii="Century Gothic" w:cs="Tahoma" w:hAnsi="Century Gothic"/>
        </w:rPr>
      </w:pPr>
    </w:p>
    <w:p>
      <w:pPr>
        <w:pStyle w:val="style0"/>
        <w:tabs>
          <w:tab w:val="left" w:leader="none" w:pos="9214"/>
          <w:tab w:val="left" w:leader="none" w:pos="9639"/>
        </w:tabs>
        <w:jc w:val="both"/>
        <w:rPr>
          <w:rFonts w:ascii="Century Gothic" w:cs="Tahoma" w:hAnsi="Century Gothic"/>
          <w:i/>
          <w:iCs/>
        </w:rPr>
      </w:pPr>
      <w:r>
        <w:rPr>
          <w:rFonts w:ascii="Century Gothic" w:cs="Tahoma" w:hAnsi="Century Gothic"/>
        </w:rPr>
        <w:t xml:space="preserve">Dans les zones de forte pression, la concentration humaine et l’exploitation agricole ont transformé le couvert végétal en une savane parc et un vaste tapis. La strate ligneuse montre une prédominance arbustive parmi laquelle les Combretacées sont bien représentées. Cette strate est très lâche et comporte des arbustes dont la hauteur varie entre 4 et </w:t>
      </w:r>
      <w:r>
        <w:rPr>
          <w:rFonts w:ascii="Century Gothic" w:cs="Tahoma" w:hAnsi="Century Gothic"/>
        </w:rPr>
        <w:t>6 m</w:t>
      </w:r>
      <w:r>
        <w:rPr>
          <w:rFonts w:ascii="Century Gothic" w:cs="Tahoma" w:hAnsi="Century Gothic"/>
        </w:rPr>
        <w:t xml:space="preserve">. Les espèces dominantes sont : </w:t>
      </w:r>
      <w:r>
        <w:rPr>
          <w:rFonts w:ascii="Century Gothic" w:cs="Tahoma" w:hAnsi="Century Gothic"/>
          <w:i/>
          <w:iCs/>
        </w:rPr>
        <w:t>Acacia audrogeoni, Acacia gourmaensis, Acacia senegal, Bombax costatum, Combretum micranthum, Ximenia americana, etc.</w:t>
      </w:r>
      <w:r>
        <w:rPr>
          <w:rFonts w:ascii="Century Gothic" w:cs="Tahoma" w:hAnsi="Century Gothic"/>
        </w:rPr>
        <w:t xml:space="preserve"> Le tapis graminéen y est dominé par les Andropogonées et Cypéracées. Les Andropogonées sont représentées par </w:t>
      </w:r>
      <w:r>
        <w:rPr>
          <w:rFonts w:ascii="Century Gothic" w:cs="Tahoma" w:hAnsi="Century Gothic"/>
          <w:i/>
          <w:iCs/>
        </w:rPr>
        <w:t>Andropogon gayanus, Cymbopogon proximus, Heterepogo contortus, etc.</w:t>
      </w:r>
    </w:p>
    <w:p>
      <w:pPr>
        <w:pStyle w:val="style0"/>
        <w:tabs>
          <w:tab w:val="left" w:leader="none" w:pos="9214"/>
          <w:tab w:val="left" w:leader="none" w:pos="9639"/>
        </w:tabs>
        <w:rPr>
          <w:rFonts w:ascii="Century Gothic" w:cs="Tahoma" w:hAnsi="Century Gothic"/>
          <w:i/>
          <w:iCs/>
        </w:rPr>
      </w:pPr>
    </w:p>
    <w:p>
      <w:pPr>
        <w:pStyle w:val="style0"/>
        <w:tabs>
          <w:tab w:val="left" w:leader="none" w:pos="9214"/>
          <w:tab w:val="left" w:leader="none" w:pos="9639"/>
        </w:tabs>
        <w:jc w:val="both"/>
        <w:rPr>
          <w:rFonts w:ascii="Century Gothic" w:cs="Tahoma" w:hAnsi="Century Gothic"/>
        </w:rPr>
      </w:pPr>
      <w:r>
        <w:rPr>
          <w:rFonts w:ascii="Century Gothic" w:cs="Tahoma" w:hAnsi="Century Gothic"/>
          <w:bCs/>
        </w:rPr>
        <w:t>Dans les bas-fonds, les vallées et ravins à humidité permanente et le long des cours d'eau comme le Nazinon, prédomine la forêt galerie. Dans cette formation les espèces les plus fréquentes sont</w:t>
      </w:r>
      <w:r>
        <w:rPr>
          <w:rFonts w:ascii="Century Gothic" w:cs="Tahoma" w:hAnsi="Century Gothic"/>
          <w:i/>
        </w:rPr>
        <w:t xml:space="preserve"> Berlina grandifora, Syzygium guineense, Carapa procera, Pentadesma butyracea, Adina microcephala, Mitragina inermis</w:t>
      </w:r>
      <w:r>
        <w:rPr>
          <w:rFonts w:ascii="Century Gothic" w:cs="Tahoma" w:hAnsi="Century Gothic"/>
        </w:rPr>
        <w:t>, etc.</w:t>
      </w:r>
    </w:p>
    <w:p>
      <w:pPr>
        <w:pStyle w:val="style0"/>
        <w:tabs>
          <w:tab w:val="left" w:leader="none" w:pos="9214"/>
          <w:tab w:val="left" w:leader="none" w:pos="9639"/>
        </w:tabs>
        <w:jc w:val="both"/>
        <w:rPr>
          <w:rFonts w:ascii="Century Gothic" w:cs="Tahoma" w:hAnsi="Century Gothic"/>
        </w:rPr>
      </w:pPr>
    </w:p>
    <w:p>
      <w:pPr>
        <w:pStyle w:val="style0"/>
        <w:tabs>
          <w:tab w:val="left" w:leader="none" w:pos="9214"/>
          <w:tab w:val="left" w:leader="none" w:pos="9639"/>
        </w:tabs>
        <w:jc w:val="both"/>
        <w:rPr>
          <w:rFonts w:ascii="Century Gothic" w:cs="Tahoma" w:hAnsi="Century Gothic"/>
        </w:rPr>
      </w:pPr>
      <w:r>
        <w:rPr>
          <w:rFonts w:ascii="Century Gothic" w:cs="Tahoma" w:hAnsi="Century Gothic"/>
        </w:rPr>
        <w:t xml:space="preserve">Face à la dégradation du couvert végétal, certaines actions sont entreprises pour la protection des espèces végétales et animales. Il s’agit du couloir de passage des éléphants </w:t>
      </w:r>
      <w:r>
        <w:rPr>
          <w:rFonts w:ascii="Century Gothic" w:hAnsi="Century Gothic"/>
        </w:rPr>
        <w:t>pour leur double migration entre le Ghana et le Burkina. Ce couloir dans la commune longe</w:t>
      </w:r>
      <w:r>
        <w:rPr>
          <w:rFonts w:ascii="Century Gothic" w:cs="Tahoma" w:hAnsi="Century Gothic"/>
        </w:rPr>
        <w:t xml:space="preserve">  le cours d’eau Nazinon. On a également une partie du Parc </w:t>
      </w:r>
      <w:r>
        <w:rPr>
          <w:rFonts w:ascii="Century Gothic" w:cs="Tahoma" w:hAnsi="Century Gothic"/>
        </w:rPr>
        <w:t xml:space="preserve">National </w:t>
      </w:r>
      <w:r>
        <w:rPr>
          <w:rFonts w:ascii="Century Gothic" w:cs="Tahoma" w:hAnsi="Century Gothic"/>
        </w:rPr>
        <w:t xml:space="preserve">Kaboré Tambi qui longe la commune dans sa partie Ouest. Ces réserves </w:t>
      </w:r>
      <w:r>
        <w:rPr>
          <w:rFonts w:ascii="Century Gothic" w:cs="Tahoma" w:hAnsi="Century Gothic"/>
        </w:rPr>
        <w:t>forestières sont sous le contrôle des services technique</w:t>
      </w:r>
      <w:r>
        <w:rPr>
          <w:rFonts w:ascii="Century Gothic" w:cs="Tahoma" w:hAnsi="Century Gothic"/>
        </w:rPr>
        <w:t>s</w:t>
      </w:r>
      <w:r>
        <w:rPr>
          <w:rFonts w:ascii="Century Gothic" w:cs="Tahoma" w:hAnsi="Century Gothic"/>
        </w:rPr>
        <w:t xml:space="preserve"> de l’environnement et des surveillants forestiers. </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Les services techniques déconcentrés de l’état intervenant dans la commune sont les services de l’action sociale, la Circonscription de l’Education de Base, la Zone d’Appui Technique Agricole (ZATA), la Zone d’Appui Technique de l’Elevage (ZATE) et le service départemental de l’Environnement, de l’Economie Verte et du Changement Climatique (SDEEVCC).</w:t>
      </w:r>
    </w:p>
    <w:p>
      <w:pPr>
        <w:pStyle w:val="style0"/>
        <w:tabs>
          <w:tab w:val="left" w:leader="none" w:pos="9214"/>
          <w:tab w:val="left" w:leader="none" w:pos="9639"/>
        </w:tabs>
        <w:jc w:val="both"/>
        <w:rPr>
          <w:rFonts w:ascii="Century Gothic" w:hAnsi="Century Gothic"/>
        </w:rPr>
      </w:pPr>
    </w:p>
    <w:p>
      <w:pPr>
        <w:pStyle w:val="style0"/>
        <w:spacing w:after="160" w:lineRule="auto" w:line="259"/>
        <w:rPr>
          <w:rFonts w:ascii="Century Gothic" w:hAnsi="Century Gothic"/>
          <w:b/>
        </w:rPr>
      </w:pPr>
      <w:r>
        <w:rPr>
          <w:rFonts w:ascii="Century Gothic" w:hAnsi="Century Gothic"/>
          <w:b/>
          <w:noProof/>
        </w:rPr>
        <mc:AlternateContent>
          <mc:Choice Requires="wpg">
            <w:drawing>
              <wp:anchor distT="0" distB="0" distL="0" distR="0" simplePos="false" relativeHeight="2" behindDoc="false" locked="false" layoutInCell="true" allowOverlap="true">
                <wp:simplePos x="0" y="0"/>
                <wp:positionH relativeFrom="column">
                  <wp:posOffset>742950</wp:posOffset>
                </wp:positionH>
                <wp:positionV relativeFrom="paragraph">
                  <wp:posOffset>6350</wp:posOffset>
                </wp:positionV>
                <wp:extent cx="4650105" cy="7033260"/>
                <wp:effectExtent l="0" t="0" r="0" b="0"/>
                <wp:wrapNone/>
                <wp:docPr id="1028" name="Groupe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650105" cy="7033260"/>
                          <a:chOff x="0" y="0"/>
                          <a:chExt cx="4650105" cy="7033260"/>
                        </a:xfrm>
                      </wpg:grpSpPr>
                      <pic:pic xmlns:pic="http://schemas.openxmlformats.org/drawingml/2006/picture">
                        <pic:nvPicPr>
                          <pic:cNvPr id="2" name="Image"/>
                          <pic:cNvPicPr/>
                        </pic:nvPicPr>
                        <pic:blipFill>
                          <a:blip r:embed="rId5" cstate="print"/>
                          <a:srcRect l="0" t="0" r="0" b="0"/>
                          <a:stretch/>
                        </pic:blipFill>
                        <pic:spPr>
                          <a:xfrm rot="0">
                            <a:off x="0" y="0"/>
                            <a:ext cx="4650105" cy="6583680"/>
                          </a:xfrm>
                          <a:prstGeom prst="rect"/>
                          <a:ln>
                            <a:noFill/>
                          </a:ln>
                        </pic:spPr>
                      </pic:pic>
                      <wps:wsp>
                        <wps:cNvSpPr/>
                        <wps:spPr>
                          <a:xfrm rot="0">
                            <a:off x="53340" y="6591300"/>
                            <a:ext cx="4549140" cy="441960"/>
                          </a:xfrm>
                          <a:prstGeom prst="rect"/>
                          <a:solidFill>
                            <a:srgbClr val="ffffff"/>
                          </a:solidFill>
                          <a:ln>
                            <a:noFill/>
                          </a:ln>
                        </wps:spPr>
                        <wps:txbx id="1030">
                          <w:txbxContent>
                            <w:p>
                              <w:pPr>
                                <w:pStyle w:val="style0"/>
                                <w:jc w:val="center"/>
                                <w:rPr>
                                  <w:b/>
                                </w:rPr>
                              </w:pPr>
                              <w:bookmarkStart w:id="11" w:name="_Toc82046046"/>
                              <w:r>
                                <w:rPr>
                                  <w:rFonts w:ascii="Century Gothic" w:hAnsi="Century Gothic"/>
                                  <w:b/>
                                  <w:sz w:val="20"/>
                                  <w:szCs w:val="20"/>
                                </w:rPr>
                                <w:t xml:space="preserve">Figure </w:t>
                              </w:r>
                              <w:r>
                                <w:rPr>
                                  <w:rFonts w:ascii="Century Gothic" w:hAnsi="Century Gothic"/>
                                  <w:b/>
                                  <w:sz w:val="20"/>
                                  <w:szCs w:val="20"/>
                                </w:rPr>
                                <w:fldChar w:fldCharType="begin"/>
                              </w:r>
                              <w:r>
                                <w:rPr>
                                  <w:rFonts w:ascii="Century Gothic" w:hAnsi="Century Gothic"/>
                                  <w:b/>
                                  <w:sz w:val="20"/>
                                  <w:szCs w:val="20"/>
                                </w:rPr>
                                <w:instrText xml:space="preserve"> SEQ Figure \* ARABIC </w:instrText>
                              </w:r>
                              <w:r>
                                <w:rPr>
                                  <w:rFonts w:ascii="Century Gothic" w:hAnsi="Century Gothic"/>
                                  <w:b/>
                                  <w:sz w:val="20"/>
                                  <w:szCs w:val="20"/>
                                </w:rPr>
                                <w:fldChar w:fldCharType="separate"/>
                              </w:r>
                              <w:r>
                                <w:rPr>
                                  <w:rFonts w:ascii="Century Gothic" w:hAnsi="Century Gothic"/>
                                  <w:b/>
                                  <w:noProof/>
                                  <w:sz w:val="20"/>
                                  <w:szCs w:val="20"/>
                                </w:rPr>
                                <w:t>2</w:t>
                              </w:r>
                              <w:r>
                                <w:rPr>
                                  <w:rFonts w:ascii="Century Gothic" w:hAnsi="Century Gothic"/>
                                  <w:b/>
                                  <w:sz w:val="20"/>
                                  <w:szCs w:val="20"/>
                                </w:rPr>
                                <w:fldChar w:fldCharType="end"/>
                              </w:r>
                              <w:r>
                                <w:rPr>
                                  <w:rFonts w:ascii="Century Gothic" w:hAnsi="Century Gothic"/>
                                  <w:b/>
                                  <w:sz w:val="20"/>
                                  <w:szCs w:val="20"/>
                                </w:rPr>
                                <w:t>: Localisation des espaces de conservation de la Commune de Tiébélé</w:t>
                              </w:r>
                              <w:bookmarkEnd w:id="11"/>
                            </w:p>
                          </w:txbxContent>
                        </wps:txbx>
                        <wps:bodyPr lIns="91440" rIns="91440" tIns="45720" bIns="45720" vert="horz" anchor="t" wrap="square">
                          <a:prstTxWarp prst="textNoShape"/>
                          <a:noAutofit/>
                        </wps:bodyPr>
                      </wps:wsp>
                    </wpg:wgp>
                  </a:graphicData>
                </a:graphic>
              </wp:anchor>
            </w:drawing>
          </mc:Choice>
          <mc:Fallback>
            <w:pict>
              <v:group id="1028" filled="f" stroked="f" style="position:absolute;margin-left:58.5pt;margin-top:0.5pt;width:366.15pt;height:553.8pt;z-index:2;mso-position-horizontal-relative:text;mso-position-vertical-relative:text;mso-width-relative:page;mso-height-relative:page;mso-wrap-distance-left:0.0pt;mso-wrap-distance-right:0.0pt;visibility:visible;" coordsize="4650105,7033260">
                <v:shape id="1029" type="#_x0000_t75" filled="f" stroked="f" style="position:absolute;left:0;top:0;width:4650105;height:6583680;z-index:2;mso-position-horizontal-relative:page;mso-position-vertical-relative:page;mso-width-relative:page;mso-height-relative:page;visibility:visible;">
                  <v:imagedata r:id="rId5" embosscolor="white" o:title=""/>
                  <v:stroke on="f"/>
                  <v:fill/>
                </v:shape>
                <v:rect id="1030" fillcolor="white" stroked="f" style="position:absolute;left:53340;top:6591300;width:4549140;height:441960;z-index:3;mso-position-horizontal-relative:page;mso-position-vertical-relative:page;mso-width-relative:page;mso-height-relative:page;visibility:visible;">
                  <v:stroke on="f" weight="0.5pt"/>
                  <v:fill/>
                  <v:textbox inset="7.2pt,3.6pt,7.2pt,3.6pt">
                    <w:txbxContent>
                      <w:p>
                        <w:pPr>
                          <w:pStyle w:val="style0"/>
                          <w:jc w:val="center"/>
                          <w:rPr>
                            <w:b/>
                          </w:rPr>
                        </w:pPr>
                        <w:r>
                          <w:rPr>
                            <w:rFonts w:ascii="Century Gothic" w:hAnsi="Century Gothic"/>
                            <w:b/>
                            <w:sz w:val="20"/>
                            <w:szCs w:val="20"/>
                          </w:rPr>
                          <w:t xml:space="preserve">Figure </w:t>
                        </w:r>
                        <w:r>
                          <w:rPr>
                            <w:rFonts w:ascii="Century Gothic" w:hAnsi="Century Gothic"/>
                            <w:b/>
                            <w:sz w:val="20"/>
                            <w:szCs w:val="20"/>
                          </w:rPr>
                          <w:fldChar w:fldCharType="begin"/>
                        </w:r>
                        <w:r>
                          <w:rPr>
                            <w:rFonts w:ascii="Century Gothic" w:hAnsi="Century Gothic"/>
                            <w:b/>
                            <w:sz w:val="20"/>
                            <w:szCs w:val="20"/>
                          </w:rPr>
                          <w:instrText xml:space="preserve"> SEQ Figure \* ARABIC </w:instrText>
                        </w:r>
                        <w:r>
                          <w:rPr>
                            <w:rFonts w:ascii="Century Gothic" w:hAnsi="Century Gothic"/>
                            <w:b/>
                            <w:sz w:val="20"/>
                            <w:szCs w:val="20"/>
                          </w:rPr>
                          <w:fldChar w:fldCharType="separate"/>
                        </w:r>
                        <w:r>
                          <w:rPr>
                            <w:rFonts w:ascii="Century Gothic" w:hAnsi="Century Gothic"/>
                            <w:b/>
                            <w:noProof/>
                            <w:sz w:val="20"/>
                            <w:szCs w:val="20"/>
                          </w:rPr>
                          <w:t>2</w:t>
                        </w:r>
                        <w:r>
                          <w:rPr>
                            <w:rFonts w:ascii="Century Gothic" w:hAnsi="Century Gothic"/>
                            <w:b/>
                            <w:sz w:val="20"/>
                            <w:szCs w:val="20"/>
                          </w:rPr>
                          <w:fldChar w:fldCharType="end"/>
                        </w:r>
                        <w:r>
                          <w:rPr>
                            <w:rFonts w:ascii="Century Gothic" w:hAnsi="Century Gothic"/>
                            <w:b/>
                            <w:sz w:val="20"/>
                            <w:szCs w:val="20"/>
                          </w:rPr>
                          <w:t>: Localisation des espaces de conservation de la Commune de Tiébélé</w:t>
                        </w:r>
                      </w:p>
                    </w:txbxContent>
                  </v:textbox>
                </v:rect>
                <v:fill/>
              </v:group>
            </w:pict>
          </mc:Fallback>
        </mc:AlternateContent>
      </w:r>
      <w:r>
        <w:rPr>
          <w:rFonts w:ascii="Century Gothic" w:hAnsi="Century Gothic"/>
          <w:b/>
        </w:rPr>
        <w:br w:type="page"/>
      </w:r>
    </w:p>
    <w:p>
      <w:pPr>
        <w:pStyle w:val="style0"/>
        <w:widowControl w:val="false"/>
        <w:tabs>
          <w:tab w:val="left" w:leader="none" w:pos="9214"/>
          <w:tab w:val="left" w:leader="none" w:pos="9639"/>
        </w:tabs>
        <w:autoSpaceDE w:val="false"/>
        <w:autoSpaceDN w:val="false"/>
        <w:adjustRightInd w:val="false"/>
        <w:ind w:hanging="360"/>
        <w:jc w:val="center"/>
        <w:rPr>
          <w:rFonts w:ascii="Century Gothic" w:hAnsi="Century Gothic"/>
          <w:b/>
          <w:sz w:val="20"/>
          <w:szCs w:val="20"/>
        </w:rPr>
      </w:pPr>
    </w:p>
    <w:p>
      <w:pPr>
        <w:pStyle w:val="style0"/>
        <w:widowControl w:val="false"/>
        <w:tabs>
          <w:tab w:val="left" w:leader="none" w:pos="9214"/>
          <w:tab w:val="left" w:leader="none" w:pos="9639"/>
        </w:tabs>
        <w:autoSpaceDE w:val="false"/>
        <w:autoSpaceDN w:val="false"/>
        <w:adjustRightInd w:val="false"/>
        <w:ind w:hanging="360"/>
        <w:jc w:val="both"/>
        <w:rPr>
          <w:rFonts w:ascii="Century Gothic" w:hAnsi="Century Gothic"/>
        </w:rPr>
      </w:pPr>
    </w:p>
    <w:bookmarkStart w:id="12" w:name="_Toc82046068"/>
    <w:p>
      <w:pPr>
        <w:pStyle w:val="style1"/>
        <w:numPr>
          <w:ilvl w:val="0"/>
          <w:numId w:val="0"/>
        </w:numPr>
        <w:tabs>
          <w:tab w:val="left" w:leader="none" w:pos="9214"/>
          <w:tab w:val="left" w:leader="none" w:pos="9639"/>
        </w:tabs>
        <w:spacing w:before="0" w:after="0"/>
        <w:rPr>
          <w:rFonts w:ascii="Century Gothic" w:hAnsi="Century Gothic"/>
          <w:sz w:val="24"/>
          <w:szCs w:val="24"/>
        </w:rPr>
      </w:pPr>
      <w:r>
        <w:rPr>
          <w:rFonts w:ascii="Century Gothic" w:hAnsi="Century Gothic"/>
          <w:sz w:val="24"/>
          <w:szCs w:val="24"/>
        </w:rPr>
        <w:t>III</w:t>
      </w:r>
      <w:r>
        <w:rPr>
          <w:rFonts w:ascii="Century Gothic" w:hAnsi="Century Gothic"/>
          <w:sz w:val="24"/>
          <w:szCs w:val="24"/>
        </w:rPr>
        <w:t>. Description du PDIC/REDD+</w:t>
      </w:r>
      <w:bookmarkEnd w:id="12"/>
      <w:r>
        <w:rPr>
          <w:rFonts w:ascii="Century Gothic" w:hAnsi="Century Gothic"/>
          <w:sz w:val="24"/>
          <w:szCs w:val="24"/>
        </w:rPr>
        <w:t> </w:t>
      </w:r>
    </w:p>
    <w:p>
      <w:pPr>
        <w:pStyle w:val="style0"/>
        <w:tabs>
          <w:tab w:val="left" w:leader="none" w:pos="9214"/>
          <w:tab w:val="left" w:leader="none" w:pos="9639"/>
        </w:tabs>
        <w:jc w:val="both"/>
        <w:rPr>
          <w:rFonts w:ascii="Century Gothic" w:hAnsi="Century Gothic"/>
          <w:b/>
        </w:rPr>
      </w:pPr>
    </w:p>
    <w:bookmarkStart w:id="13" w:name="_Toc82046069"/>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3</w:t>
      </w:r>
      <w:r>
        <w:rPr>
          <w:rFonts w:ascii="Century Gothic" w:hAnsi="Century Gothic"/>
          <w:szCs w:val="24"/>
        </w:rPr>
        <w:t>.1  Quelles sont les « contraintes » auxquelles le PDIC REDD + répond ? :</w:t>
      </w:r>
      <w:bookmarkEnd w:id="13"/>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Les contraintes auxquelles répondent le PDIC/REDD+ de la Commune de Tiébélé sont de plusieurs ordres.</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b/>
          <w:i/>
          <w:u w:val="single"/>
        </w:rPr>
        <w:t>Les contraintes d’ordre écologique</w:t>
      </w:r>
      <w:r>
        <w:rPr>
          <w:rFonts w:ascii="Century Gothic" w:hAnsi="Century Gothic"/>
        </w:rPr>
        <w:t> sont caractérisées par :</w:t>
      </w:r>
    </w:p>
    <w:p>
      <w:pPr>
        <w:pStyle w:val="style0"/>
        <w:tabs>
          <w:tab w:val="left" w:leader="none" w:pos="9214"/>
          <w:tab w:val="left" w:leader="none" w:pos="9639"/>
        </w:tabs>
        <w:jc w:val="both"/>
        <w:rPr>
          <w:rFonts w:ascii="Century Gothic" w:hAnsi="Century Gothic"/>
          <w:i/>
          <w:u w:val="single"/>
        </w:rPr>
      </w:pPr>
    </w:p>
    <w:p>
      <w:pPr>
        <w:pStyle w:val="style0"/>
        <w:tabs>
          <w:tab w:val="left" w:leader="none" w:pos="9214"/>
          <w:tab w:val="left" w:leader="none" w:pos="9639"/>
        </w:tabs>
        <w:jc w:val="both"/>
        <w:rPr>
          <w:rFonts w:ascii="Century Gothic" w:hAnsi="Century Gothic"/>
        </w:rPr>
      </w:pPr>
      <w:r>
        <w:rPr>
          <w:rFonts w:ascii="Century Gothic" w:hAnsi="Century Gothic"/>
          <w:i/>
          <w:u w:val="single"/>
        </w:rPr>
        <w:t>Une forte régression des ressources forestières</w:t>
      </w:r>
      <w:r>
        <w:rPr>
          <w:rFonts w:ascii="Century Gothic" w:hAnsi="Century Gothic"/>
        </w:rPr>
        <w:t xml:space="preserve"> due aux changements des usages des terres. En effet, l’ensemble des formations forestières (forêt galerie, savane arborée, savanes arbustive et herbeuse) couvraient </w:t>
      </w:r>
      <w:r>
        <w:rPr>
          <w:rFonts w:ascii="Century Gothic" w:hAnsi="Century Gothic"/>
        </w:rPr>
        <w:t xml:space="preserve">31 499 </w:t>
      </w:r>
      <w:r>
        <w:rPr>
          <w:rFonts w:ascii="Century Gothic" w:hAnsi="Century Gothic"/>
        </w:rPr>
        <w:t xml:space="preserve">ha, soit </w:t>
      </w:r>
      <w:r>
        <w:rPr>
          <w:rFonts w:ascii="Century Gothic" w:hAnsi="Century Gothic"/>
        </w:rPr>
        <w:t xml:space="preserve">81,67% </w:t>
      </w:r>
      <w:r>
        <w:rPr>
          <w:rFonts w:ascii="Century Gothic" w:hAnsi="Century Gothic"/>
        </w:rPr>
        <w:t xml:space="preserve">du territoire communal en </w:t>
      </w:r>
      <w:r>
        <w:rPr>
          <w:rFonts w:ascii="Century Gothic" w:hAnsi="Century Gothic"/>
        </w:rPr>
        <w:t>1989</w:t>
      </w:r>
      <w:r>
        <w:rPr>
          <w:rFonts w:ascii="Century Gothic" w:hAnsi="Century Gothic"/>
        </w:rPr>
        <w:t xml:space="preserve">. Ce couvert forestier a subi une diminution moyenne annuelle de </w:t>
      </w:r>
      <w:r>
        <w:rPr>
          <w:rFonts w:ascii="Century Gothic" w:hAnsi="Century Gothic"/>
        </w:rPr>
        <w:t xml:space="preserve">169 </w:t>
      </w:r>
      <w:r>
        <w:rPr>
          <w:rFonts w:ascii="Century Gothic" w:hAnsi="Century Gothic"/>
        </w:rPr>
        <w:t xml:space="preserve">ha, soit </w:t>
      </w:r>
      <w:r>
        <w:rPr>
          <w:rFonts w:ascii="Century Gothic" w:hAnsi="Century Gothic"/>
        </w:rPr>
        <w:t xml:space="preserve">0,54% </w:t>
      </w:r>
      <w:r>
        <w:rPr>
          <w:rFonts w:ascii="Century Gothic" w:hAnsi="Century Gothic"/>
        </w:rPr>
        <w:t xml:space="preserve">en moyenne par an. </w:t>
      </w:r>
    </w:p>
    <w:p>
      <w:pPr>
        <w:pStyle w:val="style0"/>
        <w:tabs>
          <w:tab w:val="left" w:leader="none" w:pos="9214"/>
          <w:tab w:val="left" w:leader="none" w:pos="9639"/>
        </w:tabs>
        <w:jc w:val="both"/>
        <w:rPr>
          <w:rFonts w:ascii="Century Gothic" w:hAnsi="Century Gothic"/>
        </w:rPr>
      </w:pPr>
      <w:r>
        <w:rPr>
          <w:rFonts w:ascii="Century Gothic" w:hAnsi="Century Gothic"/>
        </w:rPr>
        <w:t>Comme indiqué dans l</w:t>
      </w:r>
      <w:r>
        <w:rPr>
          <w:rFonts w:ascii="Century Gothic" w:hAnsi="Century Gothic"/>
        </w:rPr>
        <w:t>es</w:t>
      </w:r>
      <w:r>
        <w:rPr>
          <w:rFonts w:ascii="Century Gothic" w:hAnsi="Century Gothic"/>
        </w:rPr>
        <w:t xml:space="preserve"> figure</w:t>
      </w:r>
      <w:r>
        <w:rPr>
          <w:rFonts w:ascii="Century Gothic" w:hAnsi="Century Gothic"/>
        </w:rPr>
        <w:t>s 3 et 4</w:t>
      </w:r>
      <w:r>
        <w:rPr>
          <w:rFonts w:ascii="Century Gothic" w:hAnsi="Century Gothic"/>
        </w:rPr>
        <w:t xml:space="preserve"> ci-dessous, toutes les unités forestières ont connu une régression de leur superficie entre 1989 et 2020 et la forêt galerie est l’unité d’occupation forestière qui a connu le plus fort taux de régression avec un taux moyen annuel d’expansion spatiale de -1,27%. Notons cependant une réduction notable de la superficie des zones nues ce qui pourrait signifier une récupération de ces surfaces dégradées par l’application des techniques spécifiques.</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center"/>
        <w:rPr>
          <w:rFonts w:ascii="Century Gothic" w:hAnsi="Century Gothic"/>
        </w:rPr>
      </w:pPr>
      <w:r>
        <w:rPr>
          <w:noProof/>
        </w:rPr>
      </w:r>
      <w:r>
        <w:rPr>
          <w:noProof/>
        </w:rPr>
      </w:r>
      <w:r>
        <w:rPr>
          <w:noProof/>
        </w:rPr>
      </w:r>
      <w:r>
        <w:rPr>
          <w:noProof/>
        </w:rPr>
        <w:drawing>
          <wp:inline distL="114300" distT="0" distB="0" distR="114300">
            <wp:extent cx="6129020" cy="2625725"/>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noProof/>
        </w:rPr>
      </w:r>
    </w:p>
    <w:bookmarkStart w:id="14" w:name="_Toc82046047"/>
    <w:p>
      <w:pPr>
        <w:pStyle w:val="style34"/>
        <w:jc w:val="center"/>
        <w:rPr>
          <w:rFonts w:ascii="Century Gothic" w:hAnsi="Century Gothic"/>
        </w:rPr>
      </w:pPr>
      <w:r>
        <w:rPr>
          <w:rFonts w:ascii="Century Gothic" w:hAnsi="Century Gothic"/>
          <w:color w:val="auto"/>
        </w:rPr>
        <w:t xml:space="preserve">Figure </w:t>
      </w:r>
      <w:r>
        <w:rPr>
          <w:rFonts w:ascii="Century Gothic" w:hAnsi="Century Gothic"/>
          <w:color w:val="auto"/>
        </w:rPr>
        <w:fldChar w:fldCharType="begin"/>
      </w:r>
      <w:r>
        <w:rPr>
          <w:rFonts w:ascii="Century Gothic" w:hAnsi="Century Gothic"/>
          <w:color w:val="auto"/>
        </w:rPr>
        <w:instrText xml:space="preserve"> SEQ Figure \* ARABIC </w:instrText>
      </w:r>
      <w:r>
        <w:rPr>
          <w:rFonts w:ascii="Century Gothic" w:hAnsi="Century Gothic"/>
          <w:color w:val="auto"/>
        </w:rPr>
        <w:fldChar w:fldCharType="separate"/>
      </w:r>
      <w:r>
        <w:rPr>
          <w:rFonts w:ascii="Century Gothic" w:hAnsi="Century Gothic"/>
          <w:noProof/>
          <w:color w:val="auto"/>
        </w:rPr>
        <w:t>3</w:t>
      </w:r>
      <w:r>
        <w:rPr>
          <w:rFonts w:ascii="Century Gothic" w:hAnsi="Century Gothic"/>
          <w:color w:val="auto"/>
        </w:rPr>
        <w:fldChar w:fldCharType="end"/>
      </w:r>
      <w:r>
        <w:rPr>
          <w:rFonts w:ascii="Century Gothic" w:hAnsi="Century Gothic"/>
          <w:color w:val="auto"/>
        </w:rPr>
        <w:t>: Taux moyen annuel d'expansion spatiale de 1989 à 2020 de la commune de Tiébélé</w:t>
      </w:r>
      <w:bookmarkEnd w:id="14"/>
    </w:p>
    <w:p>
      <w:pPr>
        <w:pStyle w:val="style0"/>
        <w:tabs>
          <w:tab w:val="left" w:leader="none" w:pos="9214"/>
          <w:tab w:val="left" w:leader="none" w:pos="9639"/>
        </w:tabs>
        <w:jc w:val="both"/>
        <w:rPr>
          <w:rFonts w:ascii="Century Gothic" w:hAnsi="Century Gothic"/>
        </w:rPr>
      </w:pPr>
      <w:r>
        <w:rPr>
          <w:rFonts w:ascii="Century Gothic" w:hAnsi="Century Gothic"/>
        </w:rPr>
        <w:t>Cette forte régression des ressources forestières s’est faite essentiellement à la faveur d’une extension des espaces agricoles et urbains (avec des taux moyens annuel d’expansion spatiale respectifs de +1,79% et 6,25%) comme indiqué dans le tableau ci-après.</w:t>
      </w:r>
    </w:p>
    <w:p>
      <w:pPr>
        <w:pStyle w:val="style0"/>
        <w:spacing w:after="160" w:lineRule="auto" w:line="259"/>
        <w:rPr>
          <w:rFonts w:ascii="Century Gothic" w:hAnsi="Century Gothic"/>
        </w:rPr>
      </w:pPr>
      <w:r>
        <w:rPr>
          <w:rFonts w:ascii="Century Gothic" w:hAnsi="Century Gothic"/>
        </w:rPr>
        <w:br w:type="page"/>
      </w:r>
    </w:p>
    <w:p>
      <w:pPr>
        <w:pStyle w:val="style0"/>
        <w:tabs>
          <w:tab w:val="left" w:leader="none" w:pos="9214"/>
          <w:tab w:val="left" w:leader="none" w:pos="9639"/>
        </w:tabs>
        <w:jc w:val="both"/>
        <w:rPr>
          <w:rFonts w:ascii="Century Gothic" w:hAnsi="Century Gothic"/>
        </w:rPr>
      </w:pPr>
    </w:p>
    <w:bookmarkStart w:id="15" w:name="_Toc82333834"/>
    <w:p>
      <w:pPr>
        <w:pStyle w:val="style34"/>
        <w:rPr>
          <w:rFonts w:ascii="Century Gothic" w:hAnsi="Century Gothic"/>
        </w:rPr>
      </w:pPr>
      <w:r>
        <w:rPr>
          <w:rFonts w:ascii="Century Gothic" w:hAnsi="Century Gothic"/>
          <w:color w:val="auto"/>
        </w:rPr>
        <w:t xml:space="preserve">Tableau </w:t>
      </w:r>
      <w:r>
        <w:rPr>
          <w:rFonts w:ascii="Century Gothic" w:hAnsi="Century Gothic"/>
          <w:color w:val="auto"/>
        </w:rPr>
        <w:fldChar w:fldCharType="begin"/>
      </w:r>
      <w:r>
        <w:rPr>
          <w:rFonts w:ascii="Century Gothic" w:hAnsi="Century Gothic"/>
          <w:color w:val="auto"/>
        </w:rPr>
        <w:instrText xml:space="preserve"> SEQ Tableau \* ROMAN </w:instrText>
      </w:r>
      <w:r>
        <w:rPr>
          <w:rFonts w:ascii="Century Gothic" w:hAnsi="Century Gothic"/>
          <w:color w:val="auto"/>
        </w:rPr>
        <w:fldChar w:fldCharType="separate"/>
      </w:r>
      <w:r>
        <w:rPr>
          <w:rFonts w:ascii="Century Gothic" w:hAnsi="Century Gothic"/>
          <w:noProof/>
          <w:color w:val="auto"/>
        </w:rPr>
        <w:t>II</w:t>
      </w:r>
      <w:r>
        <w:rPr>
          <w:rFonts w:ascii="Century Gothic" w:hAnsi="Century Gothic"/>
          <w:color w:val="auto"/>
        </w:rPr>
        <w:fldChar w:fldCharType="end"/>
      </w:r>
      <w:r>
        <w:rPr>
          <w:rFonts w:ascii="Century Gothic" w:hAnsi="Century Gothic"/>
          <w:color w:val="auto"/>
        </w:rPr>
        <w:t>: Etude diachronique 1989 - 2020 de l'occupation des terres de la commune de Tiébélé</w:t>
      </w:r>
      <w:bookmarkEnd w:id="15"/>
    </w:p>
    <w:tbl>
      <w:tblPr>
        <w:tblW w:w="4879" w:type="pct"/>
        <w:tblInd w:w="120" w:type="dxa"/>
        <w:tblLayout w:type="fixed"/>
        <w:tblCellMar>
          <w:left w:w="70" w:type="dxa"/>
          <w:right w:w="70" w:type="dxa"/>
        </w:tblCellMar>
        <w:tblLook w:val="04A0" w:firstRow="1" w:lastRow="0" w:firstColumn="1" w:lastColumn="0" w:noHBand="0" w:noVBand="1"/>
      </w:tblPr>
      <w:tblGrid>
        <w:gridCol w:w="1908"/>
        <w:gridCol w:w="974"/>
        <w:gridCol w:w="838"/>
        <w:gridCol w:w="840"/>
        <w:gridCol w:w="704"/>
        <w:gridCol w:w="846"/>
        <w:gridCol w:w="995"/>
        <w:gridCol w:w="855"/>
        <w:gridCol w:w="1458"/>
      </w:tblGrid>
      <w:tr>
        <w:trPr>
          <w:trHeight w:val="315" w:hRule="atLeast"/>
        </w:trPr>
        <w:tc>
          <w:tcPr>
            <w:tcW w:w="1013" w:type="pct"/>
            <w:tcBorders>
              <w:top w:val="nil"/>
              <w:left w:val="nil"/>
              <w:bottom w:val="nil"/>
              <w:right w:val="nil"/>
            </w:tcBorders>
            <w:shd w:val="clear" w:color="auto" w:fill="auto"/>
            <w:noWrap/>
            <w:vAlign w:val="bottom"/>
            <w:hideMark/>
          </w:tcPr>
          <w:p>
            <w:pPr>
              <w:pStyle w:val="style0"/>
              <w:rPr>
                <w:rFonts w:ascii="Century Gothic" w:hAnsi="Century Gothic"/>
                <w:sz w:val="18"/>
                <w:szCs w:val="18"/>
              </w:rPr>
            </w:pPr>
          </w:p>
        </w:tc>
        <w:tc>
          <w:tcPr>
            <w:tcW w:w="3213" w:type="pct"/>
            <w:gridSpan w:val="7"/>
            <w:tcBorders>
              <w:top w:val="single" w:sz="8" w:space="0" w:color="auto"/>
              <w:left w:val="single" w:sz="8" w:space="0" w:color="auto"/>
              <w:bottom w:val="nil"/>
              <w:right w:val="single" w:sz="8" w:space="0" w:color="000000"/>
            </w:tcBorders>
            <w:shd w:val="clear" w:color="auto" w:fill="auto"/>
            <w:noWrap/>
            <w:vAlign w:val="bottom"/>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Unité d'occupation des terres en 2020</w:t>
            </w:r>
          </w:p>
        </w:tc>
        <w:tc>
          <w:tcPr>
            <w:tcW w:w="774" w:type="pct"/>
            <w:tcBorders>
              <w:top w:val="nil"/>
              <w:left w:val="nil"/>
              <w:bottom w:val="nil"/>
              <w:right w:val="nil"/>
            </w:tcBorders>
            <w:shd w:val="clear" w:color="auto" w:fill="auto"/>
            <w:noWrap/>
            <w:vAlign w:val="bottom"/>
            <w:hideMark/>
          </w:tcPr>
          <w:p>
            <w:pPr>
              <w:pStyle w:val="style0"/>
              <w:jc w:val="center"/>
              <w:rPr>
                <w:rFonts w:ascii="Century Gothic" w:cs="Calibri" w:hAnsi="Century Gothic"/>
                <w:b/>
                <w:bCs/>
                <w:color w:val="000000"/>
                <w:sz w:val="18"/>
                <w:szCs w:val="18"/>
              </w:rPr>
            </w:pPr>
          </w:p>
        </w:tc>
      </w:tr>
      <w:tr>
        <w:tblPrEx/>
        <w:trPr>
          <w:trHeight w:val="600" w:hRule="atLeast"/>
        </w:trPr>
        <w:tc>
          <w:tcPr>
            <w:tcW w:w="101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Unité d'occupation des terres en 1989</w:t>
            </w:r>
          </w:p>
        </w:tc>
        <w:tc>
          <w:tcPr>
            <w:tcW w:w="517" w:type="pct"/>
            <w:tcBorders>
              <w:top w:val="single" w:sz="8" w:space="0" w:color="auto"/>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Culture pluviale et territoire agroforestier</w:t>
            </w:r>
          </w:p>
        </w:tc>
        <w:tc>
          <w:tcPr>
            <w:tcW w:w="445" w:type="pct"/>
            <w:tcBorders>
              <w:top w:val="single" w:sz="8" w:space="0" w:color="auto"/>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Forêt galerie</w:t>
            </w:r>
          </w:p>
        </w:tc>
        <w:tc>
          <w:tcPr>
            <w:tcW w:w="446" w:type="pct"/>
            <w:tcBorders>
              <w:top w:val="single" w:sz="8" w:space="0" w:color="auto"/>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Habitat</w:t>
            </w:r>
          </w:p>
        </w:tc>
        <w:tc>
          <w:tcPr>
            <w:tcW w:w="374" w:type="pct"/>
            <w:tcBorders>
              <w:top w:val="single" w:sz="8" w:space="0" w:color="auto"/>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Plan d'eau</w:t>
            </w:r>
          </w:p>
        </w:tc>
        <w:tc>
          <w:tcPr>
            <w:tcW w:w="449" w:type="pct"/>
            <w:tcBorders>
              <w:top w:val="single" w:sz="8" w:space="0" w:color="auto"/>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Savane arborée</w:t>
            </w:r>
          </w:p>
        </w:tc>
        <w:tc>
          <w:tcPr>
            <w:tcW w:w="528" w:type="pct"/>
            <w:tcBorders>
              <w:top w:val="single" w:sz="8" w:space="0" w:color="auto"/>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Savane arbustive</w:t>
            </w:r>
          </w:p>
        </w:tc>
        <w:tc>
          <w:tcPr>
            <w:tcW w:w="454" w:type="pct"/>
            <w:tcBorders>
              <w:top w:val="single" w:sz="8" w:space="0" w:color="auto"/>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Zone nue</w:t>
            </w:r>
          </w:p>
        </w:tc>
        <w:tc>
          <w:tcPr>
            <w:tcW w:w="774" w:type="pct"/>
            <w:tcBorders>
              <w:top w:val="single" w:sz="8" w:space="0" w:color="auto"/>
              <w:left w:val="nil"/>
              <w:bottom w:val="single" w:sz="4" w:space="0" w:color="auto"/>
              <w:right w:val="single" w:sz="8" w:space="0" w:color="auto"/>
            </w:tcBorders>
            <w:shd w:val="clear" w:color="000000" w:fill="f2f2f2"/>
            <w:noWrap/>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Total général</w:t>
            </w:r>
          </w:p>
        </w:tc>
      </w:tr>
      <w:tr>
        <w:tblPrEx/>
        <w:trPr>
          <w:trHeight w:val="300" w:hRule="atLeast"/>
        </w:trPr>
        <w:tc>
          <w:tcPr>
            <w:tcW w:w="1013" w:type="pct"/>
            <w:tcBorders>
              <w:top w:val="nil"/>
              <w:left w:val="single" w:sz="8" w:space="0" w:color="auto"/>
              <w:bottom w:val="single" w:sz="4" w:space="0" w:color="auto"/>
              <w:right w:val="single" w:sz="8"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Culture pluviale et territoire agroforestier</w:t>
            </w:r>
          </w:p>
        </w:tc>
        <w:tc>
          <w:tcPr>
            <w:tcW w:w="517" w:type="pct"/>
            <w:tcBorders>
              <w:top w:val="nil"/>
              <w:left w:val="nil"/>
              <w:bottom w:val="single" w:sz="4" w:space="0" w:color="auto"/>
              <w:right w:val="single" w:sz="4" w:space="0" w:color="auto"/>
            </w:tcBorders>
            <w:shd w:val="clear" w:color="000000" w:fill="d9d9d9"/>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3 716,12</w:t>
            </w:r>
          </w:p>
        </w:tc>
        <w:tc>
          <w:tcPr>
            <w:tcW w:w="445"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7,46</w:t>
            </w:r>
          </w:p>
        </w:tc>
        <w:tc>
          <w:tcPr>
            <w:tcW w:w="446"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145,51</w:t>
            </w:r>
          </w:p>
        </w:tc>
        <w:tc>
          <w:tcPr>
            <w:tcW w:w="374"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12,24</w:t>
            </w:r>
          </w:p>
        </w:tc>
        <w:tc>
          <w:tcPr>
            <w:tcW w:w="449"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46,37</w:t>
            </w:r>
          </w:p>
        </w:tc>
        <w:tc>
          <w:tcPr>
            <w:tcW w:w="528"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2 888,67</w:t>
            </w:r>
          </w:p>
        </w:tc>
        <w:tc>
          <w:tcPr>
            <w:tcW w:w="454"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38,40</w:t>
            </w:r>
          </w:p>
        </w:tc>
        <w:tc>
          <w:tcPr>
            <w:tcW w:w="774" w:type="pct"/>
            <w:tcBorders>
              <w:top w:val="nil"/>
              <w:left w:val="nil"/>
              <w:bottom w:val="single" w:sz="4" w:space="0" w:color="auto"/>
              <w:right w:val="single" w:sz="8" w:space="0" w:color="auto"/>
            </w:tcBorders>
            <w:shd w:val="clear" w:color="000000" w:fill="f2f2f2"/>
            <w:noWrap/>
            <w:vAlign w:val="bottom"/>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6 854,77</w:t>
            </w:r>
          </w:p>
        </w:tc>
      </w:tr>
      <w:tr>
        <w:tblPrEx/>
        <w:trPr>
          <w:trHeight w:val="300" w:hRule="atLeast"/>
        </w:trPr>
        <w:tc>
          <w:tcPr>
            <w:tcW w:w="1013" w:type="pct"/>
            <w:tcBorders>
              <w:top w:val="nil"/>
              <w:left w:val="single" w:sz="8" w:space="0" w:color="auto"/>
              <w:bottom w:val="single" w:sz="4" w:space="0" w:color="auto"/>
              <w:right w:val="single" w:sz="8"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Forêt galerie</w:t>
            </w:r>
          </w:p>
        </w:tc>
        <w:tc>
          <w:tcPr>
            <w:tcW w:w="517"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14,82</w:t>
            </w:r>
          </w:p>
        </w:tc>
        <w:tc>
          <w:tcPr>
            <w:tcW w:w="445" w:type="pct"/>
            <w:tcBorders>
              <w:top w:val="nil"/>
              <w:left w:val="nil"/>
              <w:bottom w:val="single" w:sz="4" w:space="0" w:color="auto"/>
              <w:right w:val="single" w:sz="4" w:space="0" w:color="auto"/>
            </w:tcBorders>
            <w:shd w:val="clear" w:color="000000" w:fill="d9d9d9"/>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177,82</w:t>
            </w:r>
          </w:p>
        </w:tc>
        <w:tc>
          <w:tcPr>
            <w:tcW w:w="446"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449"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5,63</w:t>
            </w:r>
          </w:p>
        </w:tc>
        <w:tc>
          <w:tcPr>
            <w:tcW w:w="528"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120,85</w:t>
            </w:r>
          </w:p>
        </w:tc>
        <w:tc>
          <w:tcPr>
            <w:tcW w:w="454"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774" w:type="pct"/>
            <w:tcBorders>
              <w:top w:val="nil"/>
              <w:left w:val="nil"/>
              <w:bottom w:val="single" w:sz="4" w:space="0" w:color="auto"/>
              <w:right w:val="single" w:sz="8" w:space="0" w:color="auto"/>
            </w:tcBorders>
            <w:shd w:val="clear" w:color="000000" w:fill="f2f2f2"/>
            <w:noWrap/>
            <w:vAlign w:val="bottom"/>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319,12</w:t>
            </w:r>
          </w:p>
        </w:tc>
      </w:tr>
      <w:tr>
        <w:tblPrEx/>
        <w:trPr>
          <w:trHeight w:val="300" w:hRule="atLeast"/>
        </w:trPr>
        <w:tc>
          <w:tcPr>
            <w:tcW w:w="1013" w:type="pct"/>
            <w:tcBorders>
              <w:top w:val="nil"/>
              <w:left w:val="single" w:sz="8" w:space="0" w:color="auto"/>
              <w:bottom w:val="single" w:sz="4" w:space="0" w:color="auto"/>
              <w:right w:val="single" w:sz="8"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Habitat</w:t>
            </w:r>
          </w:p>
        </w:tc>
        <w:tc>
          <w:tcPr>
            <w:tcW w:w="517"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5,10</w:t>
            </w:r>
          </w:p>
        </w:tc>
        <w:tc>
          <w:tcPr>
            <w:tcW w:w="445"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446" w:type="pct"/>
            <w:tcBorders>
              <w:top w:val="nil"/>
              <w:left w:val="nil"/>
              <w:bottom w:val="single" w:sz="4" w:space="0" w:color="auto"/>
              <w:right w:val="single" w:sz="4" w:space="0" w:color="auto"/>
            </w:tcBorders>
            <w:shd w:val="clear" w:color="000000" w:fill="d9d9d9"/>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18,73</w:t>
            </w:r>
          </w:p>
        </w:tc>
        <w:tc>
          <w:tcPr>
            <w:tcW w:w="374"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449"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528"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4,05</w:t>
            </w:r>
          </w:p>
        </w:tc>
        <w:tc>
          <w:tcPr>
            <w:tcW w:w="454"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0,56</w:t>
            </w:r>
          </w:p>
        </w:tc>
        <w:tc>
          <w:tcPr>
            <w:tcW w:w="774" w:type="pct"/>
            <w:tcBorders>
              <w:top w:val="nil"/>
              <w:left w:val="nil"/>
              <w:bottom w:val="single" w:sz="4" w:space="0" w:color="auto"/>
              <w:right w:val="single" w:sz="8" w:space="0" w:color="auto"/>
            </w:tcBorders>
            <w:shd w:val="clear" w:color="000000" w:fill="f2f2f2"/>
            <w:noWrap/>
            <w:vAlign w:val="bottom"/>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28,44</w:t>
            </w:r>
          </w:p>
        </w:tc>
      </w:tr>
      <w:tr>
        <w:tblPrEx/>
        <w:trPr>
          <w:trHeight w:val="300" w:hRule="atLeast"/>
        </w:trPr>
        <w:tc>
          <w:tcPr>
            <w:tcW w:w="1013" w:type="pct"/>
            <w:tcBorders>
              <w:top w:val="nil"/>
              <w:left w:val="single" w:sz="8" w:space="0" w:color="auto"/>
              <w:bottom w:val="single" w:sz="4" w:space="0" w:color="auto"/>
              <w:right w:val="single" w:sz="8"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Plan d'eau</w:t>
            </w:r>
          </w:p>
        </w:tc>
        <w:tc>
          <w:tcPr>
            <w:tcW w:w="517"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445"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446"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374" w:type="pct"/>
            <w:tcBorders>
              <w:top w:val="nil"/>
              <w:left w:val="nil"/>
              <w:bottom w:val="single" w:sz="4" w:space="0" w:color="auto"/>
              <w:right w:val="single" w:sz="4" w:space="0" w:color="auto"/>
            </w:tcBorders>
            <w:shd w:val="clear" w:color="000000" w:fill="d9d9d9"/>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82,41</w:t>
            </w:r>
          </w:p>
        </w:tc>
        <w:tc>
          <w:tcPr>
            <w:tcW w:w="449"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528"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12,41</w:t>
            </w:r>
          </w:p>
        </w:tc>
        <w:tc>
          <w:tcPr>
            <w:tcW w:w="454"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774" w:type="pct"/>
            <w:tcBorders>
              <w:top w:val="nil"/>
              <w:left w:val="nil"/>
              <w:bottom w:val="single" w:sz="4" w:space="0" w:color="auto"/>
              <w:right w:val="single" w:sz="8" w:space="0" w:color="auto"/>
            </w:tcBorders>
            <w:shd w:val="clear" w:color="000000" w:fill="f2f2f2"/>
            <w:noWrap/>
            <w:vAlign w:val="bottom"/>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94,82</w:t>
            </w:r>
          </w:p>
        </w:tc>
      </w:tr>
      <w:tr>
        <w:tblPrEx/>
        <w:trPr>
          <w:trHeight w:val="300" w:hRule="atLeast"/>
        </w:trPr>
        <w:tc>
          <w:tcPr>
            <w:tcW w:w="1013" w:type="pct"/>
            <w:tcBorders>
              <w:top w:val="nil"/>
              <w:left w:val="single" w:sz="8" w:space="0" w:color="auto"/>
              <w:bottom w:val="single" w:sz="4" w:space="0" w:color="auto"/>
              <w:right w:val="single" w:sz="8"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Savane arborée</w:t>
            </w:r>
          </w:p>
        </w:tc>
        <w:tc>
          <w:tcPr>
            <w:tcW w:w="517"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125,30</w:t>
            </w:r>
          </w:p>
        </w:tc>
        <w:tc>
          <w:tcPr>
            <w:tcW w:w="445"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9,98</w:t>
            </w:r>
          </w:p>
        </w:tc>
        <w:tc>
          <w:tcPr>
            <w:tcW w:w="446"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0,01</w:t>
            </w:r>
          </w:p>
        </w:tc>
        <w:tc>
          <w:tcPr>
            <w:tcW w:w="449" w:type="pct"/>
            <w:tcBorders>
              <w:top w:val="nil"/>
              <w:left w:val="nil"/>
              <w:bottom w:val="single" w:sz="4" w:space="0" w:color="auto"/>
              <w:right w:val="single" w:sz="4" w:space="0" w:color="auto"/>
            </w:tcBorders>
            <w:shd w:val="clear" w:color="000000" w:fill="d9d9d9"/>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95,74</w:t>
            </w:r>
          </w:p>
        </w:tc>
        <w:tc>
          <w:tcPr>
            <w:tcW w:w="528"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449,41</w:t>
            </w:r>
          </w:p>
        </w:tc>
        <w:tc>
          <w:tcPr>
            <w:tcW w:w="454"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774" w:type="pct"/>
            <w:tcBorders>
              <w:top w:val="nil"/>
              <w:left w:val="nil"/>
              <w:bottom w:val="single" w:sz="4" w:space="0" w:color="auto"/>
              <w:right w:val="single" w:sz="8" w:space="0" w:color="auto"/>
            </w:tcBorders>
            <w:shd w:val="clear" w:color="000000" w:fill="f2f2f2"/>
            <w:noWrap/>
            <w:vAlign w:val="bottom"/>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680,44</w:t>
            </w:r>
          </w:p>
        </w:tc>
      </w:tr>
      <w:tr>
        <w:tblPrEx/>
        <w:trPr>
          <w:trHeight w:val="300" w:hRule="atLeast"/>
        </w:trPr>
        <w:tc>
          <w:tcPr>
            <w:tcW w:w="1013" w:type="pct"/>
            <w:tcBorders>
              <w:top w:val="nil"/>
              <w:left w:val="single" w:sz="8" w:space="0" w:color="auto"/>
              <w:bottom w:val="single" w:sz="4" w:space="0" w:color="auto"/>
              <w:right w:val="single" w:sz="8"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Savane arbustive et herbeuse</w:t>
            </w:r>
          </w:p>
        </w:tc>
        <w:tc>
          <w:tcPr>
            <w:tcW w:w="517"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8 057,46</w:t>
            </w:r>
          </w:p>
        </w:tc>
        <w:tc>
          <w:tcPr>
            <w:tcW w:w="445"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10,32</w:t>
            </w:r>
          </w:p>
        </w:tc>
        <w:tc>
          <w:tcPr>
            <w:tcW w:w="446"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33,03</w:t>
            </w:r>
          </w:p>
        </w:tc>
        <w:tc>
          <w:tcPr>
            <w:tcW w:w="374"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36,26</w:t>
            </w:r>
          </w:p>
        </w:tc>
        <w:tc>
          <w:tcPr>
            <w:tcW w:w="449"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350,25</w:t>
            </w:r>
          </w:p>
        </w:tc>
        <w:tc>
          <w:tcPr>
            <w:tcW w:w="528" w:type="pct"/>
            <w:tcBorders>
              <w:top w:val="nil"/>
              <w:left w:val="nil"/>
              <w:bottom w:val="single" w:sz="4" w:space="0" w:color="auto"/>
              <w:right w:val="single" w:sz="4" w:space="0" w:color="auto"/>
            </w:tcBorders>
            <w:shd w:val="clear" w:color="000000" w:fill="d9d9d9"/>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21 999,18</w:t>
            </w:r>
          </w:p>
        </w:tc>
        <w:tc>
          <w:tcPr>
            <w:tcW w:w="454"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13,05</w:t>
            </w:r>
          </w:p>
        </w:tc>
        <w:tc>
          <w:tcPr>
            <w:tcW w:w="774" w:type="pct"/>
            <w:tcBorders>
              <w:top w:val="nil"/>
              <w:left w:val="nil"/>
              <w:bottom w:val="single" w:sz="4" w:space="0" w:color="auto"/>
              <w:right w:val="single" w:sz="8" w:space="0" w:color="auto"/>
            </w:tcBorders>
            <w:shd w:val="clear" w:color="000000" w:fill="f2f2f2"/>
            <w:noWrap/>
            <w:vAlign w:val="bottom"/>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30 499,56</w:t>
            </w:r>
          </w:p>
        </w:tc>
      </w:tr>
      <w:tr>
        <w:tblPrEx/>
        <w:trPr>
          <w:trHeight w:val="315" w:hRule="atLeast"/>
        </w:trPr>
        <w:tc>
          <w:tcPr>
            <w:tcW w:w="1013" w:type="pct"/>
            <w:tcBorders>
              <w:top w:val="nil"/>
              <w:left w:val="single" w:sz="8" w:space="0" w:color="auto"/>
              <w:bottom w:val="single" w:sz="8" w:space="0" w:color="auto"/>
              <w:right w:val="single" w:sz="8"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Zone nue</w:t>
            </w:r>
          </w:p>
        </w:tc>
        <w:tc>
          <w:tcPr>
            <w:tcW w:w="517"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19,62</w:t>
            </w:r>
          </w:p>
        </w:tc>
        <w:tc>
          <w:tcPr>
            <w:tcW w:w="445"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10,02</w:t>
            </w:r>
          </w:p>
        </w:tc>
        <w:tc>
          <w:tcPr>
            <w:tcW w:w="446"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374"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0,02</w:t>
            </w:r>
          </w:p>
        </w:tc>
        <w:tc>
          <w:tcPr>
            <w:tcW w:w="449"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528" w:type="pct"/>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59,86</w:t>
            </w:r>
          </w:p>
        </w:tc>
        <w:tc>
          <w:tcPr>
            <w:tcW w:w="454" w:type="pct"/>
            <w:tcBorders>
              <w:top w:val="nil"/>
              <w:left w:val="nil"/>
              <w:bottom w:val="single" w:sz="4" w:space="0" w:color="auto"/>
              <w:right w:val="single" w:sz="4" w:space="0" w:color="auto"/>
            </w:tcBorders>
            <w:shd w:val="clear" w:color="000000" w:fill="d9d9d9"/>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0,09</w:t>
            </w:r>
          </w:p>
        </w:tc>
        <w:tc>
          <w:tcPr>
            <w:tcW w:w="774" w:type="pct"/>
            <w:tcBorders>
              <w:top w:val="nil"/>
              <w:left w:val="nil"/>
              <w:bottom w:val="single" w:sz="4" w:space="0" w:color="auto"/>
              <w:right w:val="single" w:sz="8" w:space="0" w:color="auto"/>
            </w:tcBorders>
            <w:shd w:val="clear" w:color="000000" w:fill="f2f2f2"/>
            <w:noWrap/>
            <w:vAlign w:val="bottom"/>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89,62</w:t>
            </w:r>
          </w:p>
        </w:tc>
      </w:tr>
      <w:tr>
        <w:tblPrEx/>
        <w:trPr>
          <w:trHeight w:val="315" w:hRule="atLeast"/>
        </w:trPr>
        <w:tc>
          <w:tcPr>
            <w:tcW w:w="1013" w:type="pct"/>
            <w:tcBorders>
              <w:top w:val="nil"/>
              <w:left w:val="single" w:sz="8" w:space="0" w:color="auto"/>
              <w:bottom w:val="single" w:sz="8" w:space="0" w:color="auto"/>
              <w:right w:val="single" w:sz="8" w:space="0" w:color="auto"/>
            </w:tcBorders>
            <w:shd w:val="clear" w:color="000000" w:fill="f2f2f2"/>
            <w:noWrap/>
            <w:vAlign w:val="bottom"/>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Total général</w:t>
            </w:r>
          </w:p>
        </w:tc>
        <w:tc>
          <w:tcPr>
            <w:tcW w:w="517" w:type="pct"/>
            <w:tcBorders>
              <w:top w:val="nil"/>
              <w:left w:val="nil"/>
              <w:bottom w:val="single" w:sz="8" w:space="0" w:color="auto"/>
              <w:right w:val="single" w:sz="4" w:space="0" w:color="auto"/>
            </w:tcBorders>
            <w:shd w:val="clear" w:color="000000" w:fill="f2f2f2"/>
            <w:noWrap/>
            <w:vAlign w:val="bottom"/>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11 938,42</w:t>
            </w:r>
          </w:p>
        </w:tc>
        <w:tc>
          <w:tcPr>
            <w:tcW w:w="445" w:type="pct"/>
            <w:tcBorders>
              <w:top w:val="nil"/>
              <w:left w:val="nil"/>
              <w:bottom w:val="single" w:sz="8" w:space="0" w:color="auto"/>
              <w:right w:val="single" w:sz="4" w:space="0" w:color="auto"/>
            </w:tcBorders>
            <w:shd w:val="clear" w:color="000000" w:fill="f2f2f2"/>
            <w:noWrap/>
            <w:vAlign w:val="bottom"/>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215,60</w:t>
            </w:r>
          </w:p>
        </w:tc>
        <w:tc>
          <w:tcPr>
            <w:tcW w:w="446" w:type="pct"/>
            <w:tcBorders>
              <w:top w:val="nil"/>
              <w:left w:val="nil"/>
              <w:bottom w:val="single" w:sz="8" w:space="0" w:color="auto"/>
              <w:right w:val="single" w:sz="4" w:space="0" w:color="auto"/>
            </w:tcBorders>
            <w:shd w:val="clear" w:color="000000" w:fill="f2f2f2"/>
            <w:noWrap/>
            <w:vAlign w:val="bottom"/>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197,28</w:t>
            </w:r>
          </w:p>
        </w:tc>
        <w:tc>
          <w:tcPr>
            <w:tcW w:w="374" w:type="pct"/>
            <w:tcBorders>
              <w:top w:val="nil"/>
              <w:left w:val="nil"/>
              <w:bottom w:val="single" w:sz="8" w:space="0" w:color="auto"/>
              <w:right w:val="single" w:sz="4" w:space="0" w:color="auto"/>
            </w:tcBorders>
            <w:shd w:val="clear" w:color="000000" w:fill="f2f2f2"/>
            <w:noWrap/>
            <w:vAlign w:val="bottom"/>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130,95</w:t>
            </w:r>
          </w:p>
        </w:tc>
        <w:tc>
          <w:tcPr>
            <w:tcW w:w="449" w:type="pct"/>
            <w:tcBorders>
              <w:top w:val="nil"/>
              <w:left w:val="nil"/>
              <w:bottom w:val="single" w:sz="8" w:space="0" w:color="auto"/>
              <w:right w:val="single" w:sz="4" w:space="0" w:color="auto"/>
            </w:tcBorders>
            <w:shd w:val="clear" w:color="000000" w:fill="f2f2f2"/>
            <w:noWrap/>
            <w:vAlign w:val="bottom"/>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497,99</w:t>
            </w:r>
          </w:p>
        </w:tc>
        <w:tc>
          <w:tcPr>
            <w:tcW w:w="528" w:type="pct"/>
            <w:tcBorders>
              <w:top w:val="nil"/>
              <w:left w:val="nil"/>
              <w:bottom w:val="single" w:sz="8" w:space="0" w:color="auto"/>
              <w:right w:val="single" w:sz="4" w:space="0" w:color="auto"/>
            </w:tcBorders>
            <w:shd w:val="clear" w:color="000000" w:fill="f2f2f2"/>
            <w:noWrap/>
            <w:vAlign w:val="bottom"/>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25 534,43</w:t>
            </w:r>
          </w:p>
        </w:tc>
        <w:tc>
          <w:tcPr>
            <w:tcW w:w="454" w:type="pct"/>
            <w:tcBorders>
              <w:top w:val="nil"/>
              <w:left w:val="nil"/>
              <w:bottom w:val="single" w:sz="8" w:space="0" w:color="auto"/>
              <w:right w:val="single" w:sz="4" w:space="0" w:color="auto"/>
            </w:tcBorders>
            <w:shd w:val="clear" w:color="000000" w:fill="f2f2f2"/>
            <w:noWrap/>
            <w:vAlign w:val="bottom"/>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52,10</w:t>
            </w:r>
          </w:p>
        </w:tc>
        <w:tc>
          <w:tcPr>
            <w:tcW w:w="774" w:type="pct"/>
            <w:tcBorders>
              <w:top w:val="nil"/>
              <w:left w:val="nil"/>
              <w:bottom w:val="single" w:sz="8" w:space="0" w:color="auto"/>
              <w:right w:val="single" w:sz="8" w:space="0" w:color="auto"/>
            </w:tcBorders>
            <w:shd w:val="clear" w:color="000000" w:fill="f2f2f2"/>
            <w:noWrap/>
            <w:vAlign w:val="bottom"/>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38 566,76</w:t>
            </w:r>
          </w:p>
        </w:tc>
      </w:tr>
    </w:tbl>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Du tableau ci-dessus, il ressort qu’</w:t>
      </w:r>
      <w:r>
        <w:rPr>
          <w:rFonts w:ascii="Century Gothic" w:hAnsi="Century Gothic"/>
        </w:rPr>
        <w:t>entre1989 et 2020, 449</w:t>
      </w:r>
      <w:r>
        <w:rPr>
          <w:rFonts w:ascii="Century Gothic" w:hAnsi="Century Gothic"/>
        </w:rPr>
        <w:t>,</w:t>
      </w:r>
      <w:r>
        <w:rPr>
          <w:rFonts w:ascii="Century Gothic" w:hAnsi="Century Gothic"/>
        </w:rPr>
        <w:t>41</w:t>
      </w:r>
      <w:r>
        <w:rPr>
          <w:rFonts w:ascii="Century Gothic" w:hAnsi="Century Gothic"/>
        </w:rPr>
        <w:t xml:space="preserve"> ha de</w:t>
      </w:r>
      <w:r>
        <w:rPr>
          <w:rFonts w:ascii="Century Gothic" w:hAnsi="Century Gothic"/>
        </w:rPr>
        <w:t xml:space="preserve"> savane arborée soit 66 ,5% ont régressé pour devenir de la</w:t>
      </w:r>
      <w:r>
        <w:rPr>
          <w:rFonts w:ascii="Century Gothic" w:hAnsi="Century Gothic"/>
        </w:rPr>
        <w:t xml:space="preserve"> savane arbustive et herbeuse</w:t>
      </w:r>
      <w:r>
        <w:rPr>
          <w:rFonts w:ascii="Century Gothic" w:hAnsi="Century Gothic"/>
        </w:rPr>
        <w:t> ; 8 057,46 ha de savane arbustive et herbeuse</w:t>
      </w:r>
      <w:r>
        <w:rPr>
          <w:rFonts w:ascii="Century Gothic" w:hAnsi="Century Gothic"/>
        </w:rPr>
        <w:t xml:space="preserve"> </w:t>
      </w:r>
      <w:r>
        <w:rPr>
          <w:rFonts w:ascii="Century Gothic" w:hAnsi="Century Gothic"/>
        </w:rPr>
        <w:t>26,42% ont été transformés en culture pluviale.</w:t>
      </w:r>
      <w:r>
        <w:rPr>
          <w:rFonts w:ascii="Century Gothic" w:hAnsi="Century Gothic"/>
        </w:rPr>
        <w:t xml:space="preserve"> </w:t>
      </w:r>
      <w:r>
        <w:rPr>
          <w:rFonts w:ascii="Century Gothic" w:hAnsi="Century Gothic"/>
        </w:rPr>
        <w:t>Une des conséquences de l’agriculture extensive marquée par l’abandon des terres en jachère apparait clairement dans cette commune. En effet, 2 888,67 ha de surface agricole (soit 42,14%) ont été laissé</w:t>
      </w:r>
      <w:r>
        <w:rPr>
          <w:rFonts w:ascii="Century Gothic" w:hAnsi="Century Gothic"/>
        </w:rPr>
        <w:t>s</w:t>
      </w:r>
      <w:r>
        <w:rPr>
          <w:rFonts w:ascii="Century Gothic" w:hAnsi="Century Gothic"/>
        </w:rPr>
        <w:t xml:space="preserve"> en jachère devenant une savane arbustive</w:t>
      </w:r>
      <w:r>
        <w:rPr>
          <w:rFonts w:ascii="Century Gothic" w:hAnsi="Century Gothic"/>
        </w:rPr>
        <w:t xml:space="preserve"> pendant que la superficie totale emblavée est passée de 6 854,77 ha en 1989 à 11 938,42 ha en 2020.</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En somme, l’on constate une dynamique négative de l’évolution du couvert forestier de la comme de Tiébélé d’où l’opportunité de la prise de mesures de restauration du couvert forestier et de réduction de l’expansion des superficies agricoles à travers des actions d’intensification.</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A cela </w:t>
      </w:r>
      <w:r>
        <w:rPr>
          <w:rFonts w:ascii="Century Gothic" w:hAnsi="Century Gothic"/>
        </w:rPr>
        <w:t xml:space="preserve">s’ajoute </w:t>
      </w:r>
      <w:r>
        <w:rPr>
          <w:rFonts w:ascii="Century Gothic" w:hAnsi="Century Gothic"/>
          <w:spacing w:val="-2"/>
        </w:rPr>
        <w:t>l</w:t>
      </w:r>
      <w:r>
        <w:rPr>
          <w:rFonts w:ascii="Century Gothic" w:hAnsi="Century Gothic"/>
        </w:rPr>
        <w:t>e développement de l’orpaillage qui mérite une attention particulière au regard des conséquences que les mauvaises pratiques sur les sites pourraient engendrer (déboisement, utilisation des produits dangereux, pollution des sols et des eaux, etc.). On note la présence d’un site d’orpaillage traditionnel dans le village de Kollo. Le comptoir AFINOR, installé sur le site assure le traitement et l’achat de l’or. Le site connait des difficultés au regard du fait que les orpailleurs ne sont pas disposés à vendre leur or au comptoir à cause de la faiblesse des coûts. Des problèmes fonciers ont momentanément arrêté l’exploitation dans certaines carrières du fait que le dossier est en justice. Dans la perspective d’une mise e</w:t>
      </w:r>
      <w:r>
        <w:rPr>
          <w:rFonts w:ascii="Century Gothic" w:hAnsi="Century Gothic"/>
        </w:rPr>
        <w:t>n</w:t>
      </w:r>
      <w:r>
        <w:rPr>
          <w:rFonts w:ascii="Century Gothic" w:hAnsi="Century Gothic"/>
        </w:rPr>
        <w:t xml:space="preserve"> œuvre du PDIC, Il sera</w:t>
      </w:r>
      <w:r>
        <w:rPr>
          <w:rFonts w:ascii="Century Gothic" w:hAnsi="Century Gothic"/>
        </w:rPr>
        <w:t>it</w:t>
      </w:r>
      <w:r>
        <w:rPr>
          <w:rFonts w:ascii="Century Gothic" w:hAnsi="Century Gothic"/>
        </w:rPr>
        <w:t xml:space="preserve"> intéressant si des partenariats pouvaient être formalisés avec cette société dans le cadre de la mise en œuvre conjointe de certaines activités du PDIC/REDD+.</w:t>
      </w:r>
      <w:r>
        <w:rPr>
          <w:rFonts w:ascii="Century Gothic" w:hAnsi="Century Gothic"/>
        </w:rPr>
        <w:t xml:space="preserve"> </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N</w:t>
      </w:r>
      <w:r>
        <w:rPr>
          <w:rFonts w:ascii="Century Gothic" w:hAnsi="Century Gothic"/>
        </w:rPr>
        <w:t>otons également</w:t>
      </w:r>
      <w:r>
        <w:rPr>
          <w:rFonts w:ascii="Century Gothic" w:hAnsi="Century Gothic"/>
        </w:rPr>
        <w:t xml:space="preserve"> la difficile gestion de sachets plastiques, la recrudescence des conflits hommes -faunes (dégâts des cultures), les difficultés de gestion des animaux </w:t>
      </w:r>
      <w:r>
        <w:rPr>
          <w:rFonts w:ascii="Century Gothic" w:hAnsi="Century Gothic"/>
        </w:rPr>
        <w:t>saisis par manque de fourrières. La fourrière la plus proche du PNKT étant située à Kampala (30 km). Ce qui rend les missions du service forestier très délicat</w:t>
      </w:r>
      <w:r>
        <w:rPr>
          <w:rFonts w:ascii="Century Gothic" w:hAnsi="Century Gothic"/>
        </w:rPr>
        <w:t>es</w:t>
      </w:r>
      <w:r>
        <w:rPr>
          <w:rFonts w:ascii="Century Gothic" w:hAnsi="Century Gothic"/>
        </w:rPr>
        <w:t>.</w:t>
      </w:r>
    </w:p>
    <w:p>
      <w:pPr>
        <w:pStyle w:val="style0"/>
        <w:tabs>
          <w:tab w:val="left" w:leader="none" w:pos="9214"/>
          <w:tab w:val="left" w:leader="none" w:pos="9639"/>
        </w:tabs>
        <w:jc w:val="both"/>
        <w:rPr>
          <w:rFonts w:ascii="Century Gothic" w:hAnsi="Century Gothic"/>
        </w:rPr>
      </w:pPr>
    </w:p>
    <w:bookmarkStart w:id="16" w:name="_Toc79938393"/>
    <w:p>
      <w:pPr>
        <w:pStyle w:val="style0"/>
        <w:tabs>
          <w:tab w:val="left" w:leader="none" w:pos="9214"/>
          <w:tab w:val="left" w:leader="none" w:pos="9639"/>
        </w:tabs>
        <w:jc w:val="both"/>
        <w:rPr>
          <w:rFonts w:ascii="Century Gothic" w:hAnsi="Century Gothic"/>
        </w:rPr>
        <w:sectPr>
          <w:pgSz w:w="11920" w:h="16840" w:orient="portrait"/>
          <w:pgMar w:top="1134" w:right="1134" w:bottom="1134" w:left="1134" w:header="709" w:footer="709" w:gutter="0"/>
          <w:pgNumType w:start="1"/>
          <w:cols w:space="708"/>
          <w:docGrid w:linePitch="360"/>
        </w:sectPr>
      </w:pPr>
      <w:r>
        <w:rPr>
          <w:rFonts w:ascii="Century Gothic" w:hAnsi="Century Gothic"/>
          <w:i/>
          <w:u w:val="single"/>
        </w:rPr>
        <w:t>Les effets induits des changements et de la variabilité climatiques</w:t>
      </w:r>
      <w:r>
        <w:rPr>
          <w:rFonts w:ascii="Century Gothic" w:hAnsi="Century Gothic"/>
        </w:rPr>
        <w:t> : A l’instar du Burkina Faso, la commune de Tiébélé est de nos jours, sujette aux manifestations des changements climatiques. Il se traduit, selon la perception des populations par les changements pluviométriques,</w:t>
      </w:r>
      <w:r>
        <w:rPr>
          <w:rFonts w:ascii="Century Gothic" w:hAnsi="Century Gothic"/>
        </w:rPr>
        <w:t xml:space="preserve"> </w:t>
      </w:r>
      <w:r>
        <w:rPr>
          <w:rFonts w:ascii="Century Gothic" w:hAnsi="Century Gothic"/>
        </w:rPr>
        <w:t>l’accroissement soutenu des températures enregistrées (</w:t>
      </w:r>
      <w:r>
        <w:rPr>
          <w:rFonts w:ascii="Century Gothic" w:cs="Arial" w:hAnsi="Century Gothic"/>
        </w:rPr>
        <w:t>ensoleillement</w:t>
      </w:r>
      <w:r>
        <w:rPr>
          <w:rFonts w:ascii="Century Gothic" w:hAnsi="Century Gothic"/>
        </w:rPr>
        <w:t xml:space="preserve"> </w:t>
      </w:r>
      <w:r>
        <w:rPr>
          <w:rFonts w:ascii="Century Gothic" w:cs="Arial" w:hAnsi="Century Gothic"/>
        </w:rPr>
        <w:t xml:space="preserve">chaleurs, la </w:t>
      </w:r>
      <w:r>
        <w:rPr>
          <w:rFonts w:ascii="Century Gothic" w:hAnsi="Century Gothic"/>
        </w:rPr>
        <w:t xml:space="preserve">  récurrence des inondations à l’image des celles de 2006, 2016 et de 2017 ont été les plus catastrophiques pour les populations et la </w:t>
      </w:r>
      <w:r>
        <w:rPr>
          <w:rFonts w:ascii="Century Gothic" w:cs="Arial" w:hAnsi="Century Gothic"/>
        </w:rPr>
        <w:t>récurrence des grands vents et de plus en plus</w:t>
      </w:r>
      <w:r>
        <w:rPr>
          <w:rFonts w:ascii="Century Gothic" w:hAnsi="Century Gothic"/>
        </w:rPr>
        <w:t xml:space="preserve"> violents, etc.</w:t>
      </w:r>
      <w:bookmarkEnd w:id="16"/>
    </w:p>
    <w:p>
      <w:pPr>
        <w:pStyle w:val="style0"/>
        <w:tabs>
          <w:tab w:val="left" w:leader="none" w:pos="9214"/>
          <w:tab w:val="left" w:leader="none" w:pos="9639"/>
        </w:tabs>
        <w:jc w:val="center"/>
        <w:rPr>
          <w:rFonts w:ascii="Century Gothic" w:hAnsi="Century Gothic"/>
        </w:rPr>
      </w:pPr>
      <w:r>
        <w:rPr>
          <w:rFonts w:ascii="Century Gothic" w:hAnsi="Century Gothic"/>
          <w:noProof/>
        </w:rPr>
        <w:object>
          <v:shape id="1033" type="#_x0000_t75" filled="f" stroked="f" alt="F:\SIG\Consultation\GaMoWigna\Tiebele\Dynamique_octer_89-2020_commune_Tiebele.png" style="margin-left:0.0pt;margin-top:0.0pt;width:641.25pt;height:453.39pt;mso-wrap-distance-left:0.0pt;mso-wrap-distance-right:0.0pt;visibility:visible;">
            <w10:anchorlock/>
            <v:imagedata r:id="rId7" embosscolor="white" o:title=""/>
            <v:stroke on="f"/>
            <v:fill/>
          </v:shape>
          <o:OLEObject Type="EMBED" ProgID="Excel.Chart.8" ShapeID="1033" DrawAspect="Content" ObjectID="0" r:id="rId8"/>
        </w:object>
      </w:r>
    </w:p>
    <w:bookmarkStart w:id="17" w:name="_Toc82046048"/>
    <w:p>
      <w:pPr>
        <w:pStyle w:val="style34"/>
        <w:spacing w:after="0"/>
        <w:jc w:val="center"/>
        <w:rPr>
          <w:rFonts w:ascii="Century Gothic" w:hAnsi="Century Gothic"/>
        </w:rPr>
      </w:pPr>
      <w:r>
        <w:rPr>
          <w:rFonts w:ascii="Century Gothic" w:hAnsi="Century Gothic"/>
          <w:color w:val="auto"/>
        </w:rPr>
        <w:t xml:space="preserve">Figure </w:t>
      </w:r>
      <w:r>
        <w:rPr>
          <w:rFonts w:ascii="Century Gothic" w:hAnsi="Century Gothic"/>
          <w:color w:val="auto"/>
        </w:rPr>
        <w:fldChar w:fldCharType="begin"/>
      </w:r>
      <w:r>
        <w:rPr>
          <w:rFonts w:ascii="Century Gothic" w:hAnsi="Century Gothic"/>
          <w:color w:val="auto"/>
        </w:rPr>
        <w:instrText xml:space="preserve"> SEQ Figure \* ARABIC </w:instrText>
      </w:r>
      <w:r>
        <w:rPr>
          <w:rFonts w:ascii="Century Gothic" w:hAnsi="Century Gothic"/>
          <w:color w:val="auto"/>
        </w:rPr>
        <w:fldChar w:fldCharType="separate"/>
      </w:r>
      <w:r>
        <w:rPr>
          <w:rFonts w:ascii="Century Gothic" w:hAnsi="Century Gothic"/>
          <w:noProof/>
          <w:color w:val="auto"/>
        </w:rPr>
        <w:t>4</w:t>
      </w:r>
      <w:r>
        <w:rPr>
          <w:rFonts w:ascii="Century Gothic" w:hAnsi="Century Gothic"/>
          <w:color w:val="auto"/>
        </w:rPr>
        <w:fldChar w:fldCharType="end"/>
      </w:r>
      <w:r>
        <w:rPr>
          <w:rFonts w:ascii="Century Gothic" w:hAnsi="Century Gothic"/>
          <w:color w:val="auto"/>
        </w:rPr>
        <w:t>: Occupation des terres de la commune de Tiébélé en 1989 et en 2020</w:t>
      </w:r>
      <w:bookmarkEnd w:id="17"/>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sectPr>
          <w:pgSz w:w="16840" w:h="11920" w:orient="landscape"/>
          <w:pgMar w:top="1134" w:right="1134" w:bottom="1134" w:left="1134" w:header="709" w:footer="709" w:gutter="0"/>
          <w:cols w:space="708"/>
          <w:docGrid w:linePitch="360"/>
        </w:sectPr>
      </w:pPr>
    </w:p>
    <w:p>
      <w:pPr>
        <w:pStyle w:val="style4115"/>
        <w:tabs>
          <w:tab w:val="left" w:leader="none" w:pos="7032"/>
          <w:tab w:val="left" w:leader="none" w:pos="9214"/>
          <w:tab w:val="left" w:leader="none" w:pos="9639"/>
        </w:tabs>
        <w:jc w:val="both"/>
        <w:rPr>
          <w:rFonts w:cs="Times New Roman"/>
          <w:b/>
        </w:rPr>
      </w:pPr>
      <w:r>
        <w:rPr>
          <w:rFonts w:cs="Times New Roman"/>
          <w:b/>
          <w:i/>
          <w:u w:val="single"/>
        </w:rPr>
        <w:t>Les contraintes d’ordre socio-économique</w:t>
      </w:r>
    </w:p>
    <w:p>
      <w:pPr>
        <w:pStyle w:val="style4115"/>
        <w:tabs>
          <w:tab w:val="left" w:leader="none" w:pos="9214"/>
          <w:tab w:val="left" w:leader="none" w:pos="9639"/>
        </w:tabs>
        <w:jc w:val="both"/>
        <w:rPr>
          <w:rFonts w:cs="Times New Roman"/>
        </w:rPr>
      </w:pPr>
    </w:p>
    <w:p>
      <w:pPr>
        <w:pStyle w:val="style0"/>
        <w:jc w:val="both"/>
        <w:rPr>
          <w:rFonts w:ascii="Century Gothic" w:cs="Calibri" w:hAnsi="Century Gothic"/>
        </w:rPr>
      </w:pPr>
      <w:r>
        <w:rPr>
          <w:rFonts w:ascii="Century Gothic" w:cs="Calibri" w:hAnsi="Century Gothic"/>
        </w:rPr>
        <w:t xml:space="preserve">La </w:t>
      </w:r>
      <w:r>
        <w:rPr>
          <w:rFonts w:ascii="Century Gothic" w:cs="Calibri" w:hAnsi="Century Gothic"/>
        </w:rPr>
        <w:t xml:space="preserve">commune compte en grande partie des sols dégradés et les semences utilisées sont </w:t>
      </w:r>
      <w:r>
        <w:rPr>
          <w:rFonts w:ascii="Century Gothic" w:cs="Calibri" w:hAnsi="Century Gothic"/>
        </w:rPr>
        <w:t xml:space="preserve">pour la plupart </w:t>
      </w:r>
      <w:r>
        <w:rPr>
          <w:rFonts w:ascii="Century Gothic" w:cs="Calibri" w:hAnsi="Century Gothic"/>
        </w:rPr>
        <w:t xml:space="preserve">d’origine locale à cycle long. Néanmoins, on note l’introduction timide de nouvelles variétés améliorées. Pour la campagne écoulée, les producteurs de </w:t>
      </w:r>
      <w:r>
        <w:rPr>
          <w:rFonts w:ascii="Century Gothic" w:cs="Calibri" w:hAnsi="Century Gothic"/>
        </w:rPr>
        <w:t>Tiébélé</w:t>
      </w:r>
      <w:r>
        <w:rPr>
          <w:rFonts w:ascii="Century Gothic" w:cs="Calibri" w:hAnsi="Century Gothic"/>
        </w:rPr>
        <w:t xml:space="preserve"> ont reçu des dotations en semences qui sont arrivées tardivement.</w:t>
      </w:r>
    </w:p>
    <w:p>
      <w:pPr>
        <w:pStyle w:val="style0"/>
        <w:jc w:val="both"/>
        <w:rPr>
          <w:rFonts w:ascii="Century Gothic" w:cs="Calibri" w:hAnsi="Century Gothic"/>
        </w:rPr>
      </w:pPr>
    </w:p>
    <w:p>
      <w:pPr>
        <w:pStyle w:val="style0"/>
        <w:jc w:val="both"/>
        <w:rPr>
          <w:rFonts w:ascii="Century Gothic" w:cs="Calibri" w:hAnsi="Century Gothic"/>
        </w:rPr>
      </w:pPr>
      <w:r>
        <w:rPr>
          <w:rFonts w:ascii="Century Gothic" w:cs="Calibri" w:hAnsi="Century Gothic"/>
        </w:rPr>
        <w:t>Pour faire face aux problèmes de dégradation des sols, certaines activités de DRS/CES sont entreprises en occurrence la réalisation des fosses fumières et cordons pierreux. On rencontre également l’utilisation de pesticides chimiques contre les attaques des larves d’insectes parasites.</w:t>
      </w:r>
    </w:p>
    <w:p>
      <w:pPr>
        <w:pStyle w:val="style4115"/>
        <w:tabs>
          <w:tab w:val="left" w:leader="none" w:pos="9214"/>
          <w:tab w:val="left" w:leader="none" w:pos="9639"/>
        </w:tabs>
        <w:jc w:val="both"/>
        <w:rPr>
          <w:rFonts w:cs="Times New Roman"/>
        </w:rPr>
      </w:pPr>
    </w:p>
    <w:p>
      <w:pPr>
        <w:pStyle w:val="style4115"/>
        <w:tabs>
          <w:tab w:val="left" w:leader="none" w:pos="9214"/>
          <w:tab w:val="left" w:leader="none" w:pos="9639"/>
        </w:tabs>
        <w:jc w:val="both"/>
        <w:rPr>
          <w:rFonts w:cs="Calibri"/>
        </w:rPr>
      </w:pPr>
      <w:r>
        <w:rPr>
          <w:rFonts w:cs="Times New Roman"/>
        </w:rPr>
        <w:t>L’agriculture constitue la plus grande menace de la pérennité des entités domaniales forestières</w:t>
      </w:r>
      <w:r>
        <w:rPr>
          <w:rFonts w:cs="Times New Roman"/>
        </w:rPr>
        <w:t xml:space="preserve"> comme étayée par les chiffres dans le paragraphe des contraintes d’ordre écologique</w:t>
      </w:r>
      <w:r>
        <w:rPr>
          <w:rFonts w:cs="Times New Roman"/>
        </w:rPr>
        <w:t xml:space="preserve">. Les principales raisons de cette pression croissante sur les forêts sont </w:t>
      </w:r>
      <w:r>
        <w:rPr>
          <w:rFonts w:cs="Times New Roman"/>
        </w:rPr>
        <w:t>entre autres l’i</w:t>
      </w:r>
      <w:r>
        <w:rPr>
          <w:rFonts w:cs="Calibri"/>
        </w:rPr>
        <w:t>nsuffisance de terres cultivables</w:t>
      </w:r>
      <w:r>
        <w:rPr>
          <w:rFonts w:cs="Calibri"/>
        </w:rPr>
        <w:t>, le f</w:t>
      </w:r>
      <w:r>
        <w:rPr>
          <w:rFonts w:cs="Calibri"/>
        </w:rPr>
        <w:t>aible niveau d’équipements agricoles</w:t>
      </w:r>
      <w:r>
        <w:rPr>
          <w:rFonts w:cs="Calibri"/>
        </w:rPr>
        <w:t>, la f</w:t>
      </w:r>
      <w:r>
        <w:rPr>
          <w:rFonts w:cs="Calibri"/>
        </w:rPr>
        <w:t>aible maitrise des techniques de production</w:t>
      </w:r>
      <w:r>
        <w:rPr>
          <w:rFonts w:cs="Calibri"/>
        </w:rPr>
        <w:t>, les d</w:t>
      </w:r>
      <w:r>
        <w:rPr>
          <w:rFonts w:cs="Calibri"/>
        </w:rPr>
        <w:t>ifficulté</w:t>
      </w:r>
      <w:r>
        <w:rPr>
          <w:rFonts w:cs="Calibri"/>
        </w:rPr>
        <w:t>s</w:t>
      </w:r>
      <w:r>
        <w:rPr>
          <w:rFonts w:cs="Calibri"/>
        </w:rPr>
        <w:t xml:space="preserve"> d’approvisionnement en intrants agricoles</w:t>
      </w:r>
      <w:r>
        <w:rPr>
          <w:rFonts w:cs="Calibri"/>
        </w:rPr>
        <w:t>, etc.</w:t>
      </w:r>
    </w:p>
    <w:p>
      <w:pPr>
        <w:pStyle w:val="style179"/>
        <w:tabs>
          <w:tab w:val="left" w:leader="none" w:pos="9214"/>
          <w:tab w:val="left" w:leader="none" w:pos="9639"/>
        </w:tabs>
        <w:autoSpaceDE w:val="false"/>
        <w:autoSpaceDN w:val="false"/>
        <w:adjustRightInd w:val="false"/>
        <w:ind w:left="0"/>
        <w:jc w:val="both"/>
        <w:rPr>
          <w:rFonts w:ascii="Century Gothic" w:hAnsi="Century Gothic"/>
          <w:color w:val="000000"/>
        </w:rPr>
      </w:pPr>
    </w:p>
    <w:p>
      <w:pPr>
        <w:pStyle w:val="style179"/>
        <w:tabs>
          <w:tab w:val="left" w:leader="none" w:pos="9214"/>
          <w:tab w:val="left" w:leader="none" w:pos="9639"/>
        </w:tabs>
        <w:autoSpaceDE w:val="false"/>
        <w:autoSpaceDN w:val="false"/>
        <w:adjustRightInd w:val="false"/>
        <w:ind w:left="0"/>
        <w:jc w:val="both"/>
        <w:rPr>
          <w:rFonts w:ascii="Century Gothic" w:hAnsi="Century Gothic"/>
        </w:rPr>
      </w:pPr>
      <w:r>
        <w:rPr>
          <w:rFonts w:ascii="Century Gothic" w:hAnsi="Century Gothic"/>
          <w:color w:val="000000"/>
        </w:rPr>
        <w:t>L</w:t>
      </w:r>
      <w:r>
        <w:rPr>
          <w:rFonts w:ascii="Century Gothic" w:hAnsi="Century Gothic"/>
          <w:color w:val="000000"/>
        </w:rPr>
        <w:t xml:space="preserve">es impératifs liés au semis en ligne et à la culture attelée et motorisée ont conduit à un décapage de la sylve au niveau des emblavures. Par ailleurs, l’usage abusif des pesticides et herbicides totaux impacte négativement sur la population des insectes pollinisateurs ainsi que des eaux, engendrant ainsi des faibles niveaux de productions de la biomasse de la végétation ligneuse naturelle. </w:t>
      </w:r>
    </w:p>
    <w:p>
      <w:pPr>
        <w:pStyle w:val="style179"/>
        <w:tabs>
          <w:tab w:val="left" w:leader="none" w:pos="9214"/>
          <w:tab w:val="left" w:leader="none" w:pos="9639"/>
        </w:tabs>
        <w:autoSpaceDE w:val="false"/>
        <w:autoSpaceDN w:val="false"/>
        <w:adjustRightInd w:val="false"/>
        <w:ind w:left="0"/>
        <w:jc w:val="both"/>
        <w:rPr>
          <w:rFonts w:ascii="Century Gothic" w:hAnsi="Century Gothic"/>
        </w:rPr>
      </w:pPr>
    </w:p>
    <w:p>
      <w:pPr>
        <w:pStyle w:val="style0"/>
        <w:jc w:val="both"/>
        <w:rPr>
          <w:rFonts w:ascii="Century Gothic" w:cs="Calibri" w:hAnsi="Century Gothic"/>
        </w:rPr>
      </w:pPr>
      <w:r>
        <w:rPr>
          <w:rFonts w:ascii="Century Gothic" w:cs="Calibri" w:hAnsi="Century Gothic"/>
        </w:rPr>
        <w:t xml:space="preserve">L’élevage, </w:t>
      </w:r>
      <w:r>
        <w:rPr>
          <w:rFonts w:ascii="Century Gothic" w:cs="Calibri" w:hAnsi="Century Gothic"/>
        </w:rPr>
        <w:t>constitué de</w:t>
      </w:r>
      <w:r>
        <w:rPr>
          <w:rFonts w:ascii="Century Gothic" w:cs="Calibri" w:hAnsi="Century Gothic"/>
        </w:rPr>
        <w:t xml:space="preserve"> bovins, </w:t>
      </w:r>
      <w:r>
        <w:rPr>
          <w:rFonts w:ascii="Century Gothic" w:cs="Calibri" w:hAnsi="Century Gothic"/>
        </w:rPr>
        <w:t xml:space="preserve">de </w:t>
      </w:r>
      <w:r>
        <w:rPr>
          <w:rFonts w:ascii="Century Gothic" w:cs="Calibri" w:hAnsi="Century Gothic"/>
        </w:rPr>
        <w:t xml:space="preserve">caprins, </w:t>
      </w:r>
      <w:r>
        <w:rPr>
          <w:rFonts w:ascii="Century Gothic" w:cs="Calibri" w:hAnsi="Century Gothic"/>
        </w:rPr>
        <w:t>d’</w:t>
      </w:r>
      <w:r>
        <w:rPr>
          <w:rFonts w:ascii="Century Gothic" w:cs="Calibri" w:hAnsi="Century Gothic"/>
        </w:rPr>
        <w:t xml:space="preserve">ovins, et </w:t>
      </w:r>
      <w:r>
        <w:rPr>
          <w:rFonts w:ascii="Century Gothic" w:cs="Calibri" w:hAnsi="Century Gothic"/>
        </w:rPr>
        <w:t xml:space="preserve">de </w:t>
      </w:r>
      <w:r>
        <w:rPr>
          <w:rFonts w:ascii="Century Gothic" w:cs="Calibri" w:hAnsi="Century Gothic"/>
        </w:rPr>
        <w:t>l</w:t>
      </w:r>
      <w:r>
        <w:rPr>
          <w:rFonts w:ascii="Century Gothic" w:cs="Calibri" w:hAnsi="Century Gothic"/>
        </w:rPr>
        <w:t>a volaille (poules et pintades) est confronté à des difficultés relatives à la recrudescence de certaines m</w:t>
      </w:r>
      <w:r>
        <w:rPr>
          <w:rFonts w:ascii="Century Gothic" w:cs="Calibri" w:hAnsi="Century Gothic"/>
        </w:rPr>
        <w:t xml:space="preserve">aladies animales </w:t>
      </w:r>
      <w:r>
        <w:rPr>
          <w:rFonts w:ascii="Century Gothic" w:cs="Calibri" w:hAnsi="Century Gothic"/>
        </w:rPr>
        <w:t xml:space="preserve">comme </w:t>
      </w:r>
      <w:r>
        <w:rPr>
          <w:rFonts w:ascii="Century Gothic" w:cs="Calibri" w:hAnsi="Century Gothic"/>
        </w:rPr>
        <w:t>la maladie de New Castle</w:t>
      </w:r>
      <w:r>
        <w:rPr>
          <w:rFonts w:ascii="Century Gothic" w:cs="Calibri" w:hAnsi="Century Gothic"/>
        </w:rPr>
        <w:t xml:space="preserve"> </w:t>
      </w:r>
      <w:r>
        <w:rPr>
          <w:rFonts w:ascii="Century Gothic" w:cs="Calibri" w:hAnsi="Century Gothic"/>
        </w:rPr>
        <w:t>ou peste aviaire et la variole pour la volaille, la pasteurellose, le charbon symptomatique, le charbon bactéridie, la péripneumonie bovine, la dermatose et les infections digestives pour les bovins et petits ruminants.</w:t>
      </w:r>
    </w:p>
    <w:p>
      <w:pPr>
        <w:pStyle w:val="style0"/>
        <w:jc w:val="both"/>
        <w:rPr>
          <w:rFonts w:ascii="Century Gothic" w:cs="Calibri" w:hAnsi="Century Gothic"/>
        </w:rPr>
      </w:pPr>
    </w:p>
    <w:p>
      <w:pPr>
        <w:pStyle w:val="style0"/>
        <w:jc w:val="both"/>
        <w:rPr>
          <w:rFonts w:ascii="Century Gothic" w:hAnsi="Century Gothic"/>
        </w:rPr>
      </w:pPr>
      <w:r>
        <w:rPr>
          <w:rFonts w:ascii="Century Gothic" w:cs="Calibri" w:hAnsi="Century Gothic"/>
        </w:rPr>
        <w:t>A cela s’ajoute la question du</w:t>
      </w:r>
      <w:r>
        <w:rPr>
          <w:rFonts w:ascii="Century Gothic" w:cs="Calibri" w:hAnsi="Century Gothic"/>
        </w:rPr>
        <w:t xml:space="preserve"> pâturage naturel </w:t>
      </w:r>
      <w:r>
        <w:rPr>
          <w:rFonts w:ascii="Century Gothic" w:cs="Calibri" w:hAnsi="Century Gothic"/>
        </w:rPr>
        <w:t xml:space="preserve">qui est </w:t>
      </w:r>
      <w:r>
        <w:rPr>
          <w:rFonts w:ascii="Century Gothic" w:cs="Calibri" w:hAnsi="Century Gothic"/>
        </w:rPr>
        <w:t>la principale source d’alimentation des animaux</w:t>
      </w:r>
      <w:r>
        <w:rPr>
          <w:rFonts w:ascii="Century Gothic" w:cs="Calibri" w:hAnsi="Century Gothic"/>
        </w:rPr>
        <w:t xml:space="preserve"> et dont la disponibilité demeure une problématique majeure</w:t>
      </w:r>
      <w:r>
        <w:rPr>
          <w:rFonts w:ascii="Century Gothic" w:cs="Calibri" w:hAnsi="Century Gothic"/>
        </w:rPr>
        <w:t xml:space="preserve">. </w:t>
      </w:r>
      <w:r>
        <w:rPr>
          <w:rFonts w:ascii="Century Gothic" w:cs="Calibri" w:hAnsi="Century Gothic"/>
        </w:rPr>
        <w:t>En effet, i</w:t>
      </w:r>
      <w:r>
        <w:rPr>
          <w:rFonts w:ascii="Century Gothic" w:cs="Calibri" w:hAnsi="Century Gothic"/>
        </w:rPr>
        <w:t>l n’existe pas de zone à vocation pastorale et les zones de pâtures sont essentiellement les enclaves de jachère, les zones à affleurement rocheu</w:t>
      </w:r>
      <w:r>
        <w:rPr>
          <w:rFonts w:ascii="Century Gothic" w:cs="Calibri" w:hAnsi="Century Gothic"/>
        </w:rPr>
        <w:t>x</w:t>
      </w:r>
      <w:r>
        <w:rPr>
          <w:rFonts w:ascii="Century Gothic" w:cs="Calibri" w:hAnsi="Century Gothic"/>
        </w:rPr>
        <w:t xml:space="preserve"> et les collines. </w:t>
      </w:r>
    </w:p>
    <w:p>
      <w:pPr>
        <w:pStyle w:val="style179"/>
        <w:tabs>
          <w:tab w:val="left" w:leader="none" w:pos="9214"/>
          <w:tab w:val="left" w:leader="none" w:pos="9639"/>
        </w:tabs>
        <w:autoSpaceDE w:val="false"/>
        <w:autoSpaceDN w:val="false"/>
        <w:adjustRightInd w:val="false"/>
        <w:ind w:left="0"/>
        <w:jc w:val="both"/>
        <w:rPr>
          <w:rFonts w:ascii="Century Gothic" w:hAnsi="Century Gothic"/>
        </w:rPr>
      </w:pPr>
    </w:p>
    <w:p>
      <w:pPr>
        <w:pStyle w:val="style0"/>
        <w:tabs>
          <w:tab w:val="left" w:leader="none" w:pos="9214"/>
          <w:tab w:val="left" w:leader="none" w:pos="9639"/>
        </w:tabs>
        <w:autoSpaceDE w:val="false"/>
        <w:autoSpaceDN w:val="false"/>
        <w:adjustRightInd w:val="false"/>
        <w:jc w:val="both"/>
        <w:rPr>
          <w:rFonts w:ascii="Century Gothic" w:hAnsi="Century Gothic"/>
          <w:b/>
          <w:i/>
          <w:u w:val="single"/>
        </w:rPr>
      </w:pPr>
      <w:r>
        <w:rPr>
          <w:rFonts w:ascii="Century Gothic" w:hAnsi="Century Gothic"/>
          <w:b/>
          <w:i/>
          <w:u w:val="single"/>
        </w:rPr>
        <w:t>Les contraintes d’ordre institutionnel, politique et stratégique.</w:t>
      </w:r>
    </w:p>
    <w:p>
      <w:pPr>
        <w:pStyle w:val="style0"/>
        <w:tabs>
          <w:tab w:val="left" w:leader="none" w:pos="9214"/>
          <w:tab w:val="left" w:leader="none" w:pos="9639"/>
        </w:tabs>
        <w:autoSpaceDE w:val="false"/>
        <w:autoSpaceDN w:val="false"/>
        <w:adjustRightInd w:val="false"/>
        <w:jc w:val="both"/>
        <w:rPr>
          <w:rFonts w:ascii="Century Gothic" w:hAnsi="Century Gothic"/>
        </w:rPr>
      </w:pPr>
    </w:p>
    <w:p>
      <w:pPr>
        <w:pStyle w:val="style0"/>
        <w:tabs>
          <w:tab w:val="left" w:leader="none" w:pos="9214"/>
          <w:tab w:val="left" w:leader="none" w:pos="9639"/>
        </w:tabs>
        <w:autoSpaceDE w:val="false"/>
        <w:autoSpaceDN w:val="false"/>
        <w:adjustRightInd w:val="false"/>
        <w:jc w:val="both"/>
        <w:rPr>
          <w:rFonts w:ascii="Century Gothic" w:hAnsi="Century Gothic"/>
        </w:rPr>
      </w:pPr>
      <w:r>
        <w:rPr>
          <w:rFonts w:ascii="Century Gothic" w:hAnsi="Century Gothic"/>
        </w:rPr>
        <w:t>La faible prise en compte des problématiques environnementales majeures comme la séquestration du carbone, la REDD+ est une réalité au niveau de</w:t>
      </w:r>
      <w:r>
        <w:rPr>
          <w:rFonts w:ascii="Century Gothic" w:hAnsi="Century Gothic"/>
        </w:rPr>
        <w:t xml:space="preserve"> la</w:t>
      </w:r>
      <w:r>
        <w:rPr>
          <w:rFonts w:ascii="Century Gothic" w:hAnsi="Century Gothic"/>
        </w:rPr>
        <w:t xml:space="preserve"> commune. L’essentiel de la planification locale étant focalisé</w:t>
      </w:r>
      <w:r>
        <w:rPr>
          <w:rFonts w:ascii="Century Gothic" w:hAnsi="Century Gothic"/>
        </w:rPr>
        <w:t>e</w:t>
      </w:r>
      <w:r>
        <w:rPr>
          <w:rFonts w:ascii="Century Gothic" w:hAnsi="Century Gothic"/>
        </w:rPr>
        <w:t xml:space="preserve"> sur les investissements socio-économiques. A cela il faut</w:t>
      </w:r>
      <w:r>
        <w:rPr>
          <w:rFonts w:ascii="Century Gothic" w:hAnsi="Century Gothic"/>
        </w:rPr>
        <w:t xml:space="preserve"> noter</w:t>
      </w:r>
      <w:r>
        <w:rPr>
          <w:rFonts w:ascii="Century Gothic" w:hAnsi="Century Gothic"/>
        </w:rPr>
        <w:t xml:space="preserve"> </w:t>
      </w:r>
      <w:r>
        <w:rPr>
          <w:rFonts w:ascii="Century Gothic" w:hAnsi="Century Gothic"/>
        </w:rPr>
        <w:t>l</w:t>
      </w:r>
      <w:r>
        <w:rPr>
          <w:rFonts w:ascii="Century Gothic" w:hAnsi="Century Gothic"/>
        </w:rPr>
        <w:t xml:space="preserve">a faible opérationnalité du </w:t>
      </w:r>
      <w:r>
        <w:rPr>
          <w:rFonts w:ascii="Century Gothic" w:hAnsi="Century Gothic"/>
        </w:rPr>
        <w:t xml:space="preserve">service foncier. Ce qui ne facilite pas la planification et le suivi des questions foncières. Enfin, </w:t>
      </w:r>
      <w:r>
        <w:rPr>
          <w:rFonts w:ascii="Century Gothic" w:hAnsi="Century Gothic"/>
        </w:rPr>
        <w:t>la faiblesse des capacités techniques et financières de la Commune en matière de planification et de mise en œuvre des projets REDD+.</w:t>
      </w:r>
      <w:r>
        <w:rPr>
          <w:rFonts w:ascii="Century Gothic" w:hAnsi="Century Gothic"/>
        </w:rPr>
        <w:t xml:space="preserve"> </w:t>
      </w:r>
    </w:p>
    <w:p>
      <w:pPr>
        <w:pStyle w:val="style0"/>
        <w:tabs>
          <w:tab w:val="left" w:leader="none" w:pos="9214"/>
          <w:tab w:val="left" w:leader="none" w:pos="9639"/>
        </w:tabs>
        <w:autoSpaceDE w:val="false"/>
        <w:autoSpaceDN w:val="false"/>
        <w:adjustRightInd w:val="false"/>
        <w:jc w:val="both"/>
        <w:rPr>
          <w:rFonts w:ascii="Century Gothic" w:hAnsi="Century Gothic"/>
        </w:rPr>
      </w:pPr>
    </w:p>
    <w:p>
      <w:pPr>
        <w:pStyle w:val="style0"/>
        <w:tabs>
          <w:tab w:val="left" w:leader="none" w:pos="9214"/>
          <w:tab w:val="left" w:leader="none" w:pos="9639"/>
        </w:tabs>
        <w:autoSpaceDE w:val="false"/>
        <w:autoSpaceDN w:val="false"/>
        <w:adjustRightInd w:val="false"/>
        <w:jc w:val="both"/>
        <w:rPr>
          <w:rFonts w:ascii="Century Gothic" w:hAnsi="Century Gothic"/>
        </w:rPr>
      </w:pPr>
      <w:r>
        <w:rPr>
          <w:rFonts w:ascii="Century Gothic" w:hAnsi="Century Gothic"/>
        </w:rPr>
        <w:t xml:space="preserve">C’est </w:t>
      </w:r>
      <w:r>
        <w:rPr>
          <w:rFonts w:ascii="Century Gothic" w:hAnsi="Century Gothic"/>
        </w:rPr>
        <w:t xml:space="preserve">sur la base de ces différentes contraintes et </w:t>
      </w:r>
      <w:r>
        <w:rPr>
          <w:rFonts w:ascii="Century Gothic" w:hAnsi="Century Gothic"/>
        </w:rPr>
        <w:t xml:space="preserve">dans </w:t>
      </w:r>
      <w:r>
        <w:rPr>
          <w:rFonts w:ascii="Century Gothic" w:hAnsi="Century Gothic"/>
        </w:rPr>
        <w:t xml:space="preserve">la </w:t>
      </w:r>
      <w:r>
        <w:rPr>
          <w:rFonts w:ascii="Century Gothic" w:hAnsi="Century Gothic"/>
        </w:rPr>
        <w:t xml:space="preserve">perspective de </w:t>
      </w:r>
      <w:r>
        <w:rPr>
          <w:rFonts w:ascii="Century Gothic" w:hAnsi="Century Gothic"/>
        </w:rPr>
        <w:t>pallier à cette dégrad</w:t>
      </w:r>
      <w:r>
        <w:rPr>
          <w:rFonts w:ascii="Century Gothic" w:hAnsi="Century Gothic"/>
        </w:rPr>
        <w:t>ation des ressources naturelles</w:t>
      </w:r>
      <w:r>
        <w:rPr>
          <w:rFonts w:ascii="Century Gothic" w:hAnsi="Century Gothic"/>
        </w:rPr>
        <w:t xml:space="preserve"> </w:t>
      </w:r>
      <w:r>
        <w:rPr>
          <w:rFonts w:ascii="Century Gothic" w:hAnsi="Century Gothic"/>
        </w:rPr>
        <w:t xml:space="preserve">que l’association Ga Mo Wigna apporte sa contribution, en appui aux efforts de </w:t>
      </w:r>
      <w:r>
        <w:rPr>
          <w:rFonts w:ascii="Century Gothic" w:hAnsi="Century Gothic"/>
        </w:rPr>
        <w:t xml:space="preserve">l’Etat, </w:t>
      </w:r>
      <w:r>
        <w:rPr>
          <w:rFonts w:ascii="Century Gothic" w:hAnsi="Century Gothic"/>
        </w:rPr>
        <w:t>de la collectivité</w:t>
      </w:r>
      <w:r>
        <w:rPr>
          <w:rFonts w:ascii="Century Gothic" w:hAnsi="Century Gothic"/>
        </w:rPr>
        <w:t xml:space="preserve"> territoriale</w:t>
      </w:r>
      <w:r>
        <w:rPr>
          <w:rFonts w:ascii="Century Gothic" w:hAnsi="Century Gothic"/>
        </w:rPr>
        <w:t xml:space="preserve"> de </w:t>
      </w:r>
      <w:r>
        <w:rPr>
          <w:rFonts w:ascii="Century Gothic" w:hAnsi="Century Gothic"/>
        </w:rPr>
        <w:t>Tiébélé</w:t>
      </w:r>
      <w:r>
        <w:rPr>
          <w:rFonts w:ascii="Century Gothic" w:hAnsi="Century Gothic"/>
        </w:rPr>
        <w:t xml:space="preserve"> </w:t>
      </w:r>
      <w:r>
        <w:rPr>
          <w:rFonts w:ascii="Century Gothic" w:hAnsi="Century Gothic"/>
        </w:rPr>
        <w:t xml:space="preserve">et </w:t>
      </w:r>
      <w:r>
        <w:rPr>
          <w:rFonts w:ascii="Century Gothic" w:hAnsi="Century Gothic"/>
        </w:rPr>
        <w:t>des</w:t>
      </w:r>
      <w:r>
        <w:rPr>
          <w:rFonts w:ascii="Century Gothic" w:hAnsi="Century Gothic"/>
        </w:rPr>
        <w:t xml:space="preserve"> partenaires au développement</w:t>
      </w:r>
      <w:r>
        <w:rPr>
          <w:rFonts w:ascii="Century Gothic" w:hAnsi="Century Gothic"/>
        </w:rPr>
        <w:t xml:space="preserve">, à travers </w:t>
      </w:r>
      <w:r>
        <w:rPr>
          <w:rFonts w:ascii="Century Gothic" w:hAnsi="Century Gothic"/>
        </w:rPr>
        <w:t>l’élaboration et l</w:t>
      </w:r>
      <w:r>
        <w:rPr>
          <w:rFonts w:ascii="Century Gothic" w:hAnsi="Century Gothic"/>
        </w:rPr>
        <w:t>’appui à l</w:t>
      </w:r>
      <w:r>
        <w:rPr>
          <w:rFonts w:ascii="Century Gothic" w:hAnsi="Century Gothic"/>
        </w:rPr>
        <w:t>a mise en œuvre d</w:t>
      </w:r>
      <w:r>
        <w:rPr>
          <w:rFonts w:ascii="Century Gothic" w:hAnsi="Century Gothic"/>
        </w:rPr>
        <w:t>u</w:t>
      </w:r>
      <w:r>
        <w:rPr>
          <w:rFonts w:ascii="Century Gothic" w:hAnsi="Century Gothic"/>
        </w:rPr>
        <w:t xml:space="preserve"> PDIC/REDD+.</w:t>
      </w:r>
    </w:p>
    <w:p>
      <w:pPr>
        <w:pStyle w:val="style0"/>
        <w:tabs>
          <w:tab w:val="left" w:leader="none" w:pos="9214"/>
          <w:tab w:val="left" w:leader="none" w:pos="9639"/>
        </w:tabs>
        <w:autoSpaceDE w:val="false"/>
        <w:autoSpaceDN w:val="false"/>
        <w:adjustRightInd w:val="false"/>
        <w:jc w:val="both"/>
        <w:rPr>
          <w:rFonts w:ascii="Century Gothic" w:eastAsia="Calibri" w:hAnsi="Century Gothic"/>
          <w:lang w:eastAsia="en-US"/>
        </w:rPr>
      </w:pPr>
    </w:p>
    <w:bookmarkStart w:id="18" w:name="_Toc82046070"/>
    <w:p>
      <w:pPr>
        <w:pStyle w:val="style2"/>
        <w:numPr>
          <w:ilvl w:val="0"/>
          <w:numId w:val="0"/>
        </w:numPr>
        <w:tabs>
          <w:tab w:val="left" w:leader="none" w:pos="9214"/>
          <w:tab w:val="left" w:leader="none" w:pos="9639"/>
        </w:tabs>
        <w:jc w:val="both"/>
        <w:rPr>
          <w:rFonts w:ascii="Century Gothic" w:hAnsi="Century Gothic"/>
          <w:szCs w:val="24"/>
        </w:rPr>
      </w:pPr>
      <w:r>
        <w:rPr>
          <w:rFonts w:ascii="Century Gothic" w:hAnsi="Century Gothic"/>
          <w:szCs w:val="24"/>
        </w:rPr>
        <w:t>3</w:t>
      </w:r>
      <w:r>
        <w:rPr>
          <w:rFonts w:ascii="Century Gothic" w:hAnsi="Century Gothic"/>
          <w:szCs w:val="24"/>
        </w:rPr>
        <w:t>.2  Description globale du PDIC / REDD +</w:t>
      </w:r>
      <w:bookmarkEnd w:id="18"/>
    </w:p>
    <w:p>
      <w:pPr>
        <w:pStyle w:val="style0"/>
        <w:tabs>
          <w:tab w:val="left" w:leader="none" w:pos="9214"/>
          <w:tab w:val="left" w:leader="none" w:pos="9639"/>
        </w:tabs>
        <w:jc w:val="both"/>
        <w:rPr>
          <w:rFonts w:ascii="Century Gothic" w:hAnsi="Century Gothic"/>
          <w:b/>
          <w:u w:val="single"/>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L’objectif global du PDIC/REDD+ de la Commune de </w:t>
      </w:r>
      <w:r>
        <w:rPr>
          <w:rFonts w:ascii="Century Gothic" w:hAnsi="Century Gothic"/>
        </w:rPr>
        <w:t>Tiébélé</w:t>
      </w:r>
      <w:r>
        <w:rPr>
          <w:rFonts w:ascii="Century Gothic" w:hAnsi="Century Gothic"/>
        </w:rPr>
        <w:t xml:space="preserve"> est de contribuer à la séquestration du carbone et à la réduction de la pauvreté.</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De façon spécifique, le PDIC/REDD+ de la </w:t>
      </w:r>
      <w:r>
        <w:rPr>
          <w:rFonts w:ascii="Century Gothic" w:hAnsi="Century Gothic"/>
        </w:rPr>
        <w:t xml:space="preserve">commune de </w:t>
      </w:r>
      <w:r>
        <w:rPr>
          <w:rFonts w:ascii="Century Gothic" w:hAnsi="Century Gothic"/>
        </w:rPr>
        <w:t>Tiébélé</w:t>
      </w:r>
      <w:r>
        <w:rPr>
          <w:rFonts w:ascii="Century Gothic" w:hAnsi="Century Gothic"/>
        </w:rPr>
        <w:t xml:space="preserve"> </w:t>
      </w:r>
      <w:r>
        <w:rPr>
          <w:rFonts w:ascii="Century Gothic" w:hAnsi="Century Gothic"/>
        </w:rPr>
        <w:t>vise à :</w:t>
      </w:r>
    </w:p>
    <w:p>
      <w:pPr>
        <w:pStyle w:val="style0"/>
        <w:tabs>
          <w:tab w:val="left" w:leader="none" w:pos="9214"/>
          <w:tab w:val="left" w:leader="none" w:pos="9639"/>
        </w:tabs>
        <w:jc w:val="both"/>
        <w:rPr>
          <w:rFonts w:ascii="Century Gothic" w:hAnsi="Century Gothic"/>
        </w:rPr>
      </w:pPr>
    </w:p>
    <w:p>
      <w:pPr>
        <w:pStyle w:val="style179"/>
        <w:numPr>
          <w:ilvl w:val="0"/>
          <w:numId w:val="7"/>
        </w:numPr>
        <w:ind w:left="360"/>
        <w:rPr>
          <w:rFonts w:ascii="Century Gothic" w:hAnsi="Century Gothic"/>
        </w:rPr>
      </w:pPr>
      <w:r>
        <w:rPr>
          <w:rFonts w:ascii="Century Gothic" w:hAnsi="Century Gothic"/>
        </w:rPr>
        <w:t xml:space="preserve">Renforcer les initiatives d’aménagement </w:t>
      </w:r>
      <w:r>
        <w:rPr>
          <w:rFonts w:ascii="Century Gothic" w:hAnsi="Century Gothic"/>
        </w:rPr>
        <w:t>et de restauration de</w:t>
      </w:r>
      <w:r>
        <w:rPr>
          <w:rFonts w:ascii="Century Gothic" w:hAnsi="Century Gothic"/>
        </w:rPr>
        <w:t>s</w:t>
      </w:r>
      <w:r>
        <w:rPr>
          <w:rFonts w:ascii="Century Gothic" w:hAnsi="Century Gothic"/>
        </w:rPr>
        <w:t xml:space="preserve"> forêt</w:t>
      </w:r>
      <w:r>
        <w:rPr>
          <w:rFonts w:ascii="Century Gothic" w:hAnsi="Century Gothic"/>
        </w:rPr>
        <w:t>s</w:t>
      </w:r>
      <w:r>
        <w:rPr>
          <w:rFonts w:ascii="Century Gothic" w:hAnsi="Century Gothic"/>
        </w:rPr>
        <w:t xml:space="preserve"> villageoise</w:t>
      </w:r>
      <w:r>
        <w:rPr>
          <w:rFonts w:ascii="Century Gothic" w:hAnsi="Century Gothic"/>
        </w:rPr>
        <w:t xml:space="preserve">s </w:t>
      </w:r>
      <w:r>
        <w:rPr>
          <w:rFonts w:ascii="Century Gothic" w:hAnsi="Century Gothic"/>
          <w:spacing w:val="-1"/>
        </w:rPr>
        <w:t xml:space="preserve"> </w:t>
      </w:r>
      <w:r>
        <w:rPr>
          <w:rFonts w:ascii="Century Gothic" w:hAnsi="Century Gothic"/>
          <w:spacing w:val="1"/>
        </w:rPr>
        <w:t xml:space="preserve">de </w:t>
      </w:r>
      <w:r>
        <w:rPr>
          <w:rFonts w:ascii="Century Gothic" w:hAnsi="Century Gothic"/>
        </w:rPr>
        <w:t xml:space="preserve">de </w:t>
      </w:r>
      <w:r>
        <w:rPr>
          <w:rFonts w:ascii="Century Gothic" w:hAnsi="Century Gothic"/>
          <w:spacing w:val="-1"/>
        </w:rPr>
        <w:t xml:space="preserve">Kaya et de </w:t>
      </w:r>
      <w:r>
        <w:rPr>
          <w:rFonts w:ascii="Century Gothic" w:hAnsi="Century Gothic"/>
        </w:rPr>
        <w:t>Tangassogo </w:t>
      </w:r>
      <w:r>
        <w:rPr>
          <w:rFonts w:ascii="Century Gothic" w:hAnsi="Century Gothic"/>
        </w:rPr>
        <w:t>;</w:t>
      </w:r>
    </w:p>
    <w:p>
      <w:pPr>
        <w:pStyle w:val="style179"/>
        <w:widowControl w:val="false"/>
        <w:tabs>
          <w:tab w:val="left" w:leader="none" w:pos="9214"/>
          <w:tab w:val="left" w:leader="none" w:pos="9639"/>
        </w:tabs>
        <w:autoSpaceDE w:val="false"/>
        <w:autoSpaceDN w:val="false"/>
        <w:adjustRightInd w:val="false"/>
        <w:ind w:left="0"/>
        <w:jc w:val="both"/>
        <w:rPr>
          <w:rFonts w:ascii="Century Gothic" w:hAnsi="Century Gothic"/>
        </w:rPr>
      </w:pPr>
    </w:p>
    <w:p>
      <w:pPr>
        <w:pStyle w:val="style179"/>
        <w:numPr>
          <w:ilvl w:val="0"/>
          <w:numId w:val="7"/>
        </w:numPr>
        <w:tabs>
          <w:tab w:val="left" w:leader="none" w:pos="9214"/>
          <w:tab w:val="left" w:leader="none" w:pos="9639"/>
        </w:tabs>
        <w:ind w:left="360"/>
        <w:jc w:val="both"/>
        <w:rPr>
          <w:rFonts w:ascii="Century Gothic" w:hAnsi="Century Gothic"/>
        </w:rPr>
      </w:pPr>
      <w:r>
        <w:rPr>
          <w:rFonts w:ascii="Century Gothic" w:hAnsi="Century Gothic"/>
        </w:rPr>
        <w:t xml:space="preserve">Améliorer les productivités agropastorales et les revenus des populations dans les </w:t>
      </w:r>
      <w:r>
        <w:rPr>
          <w:rFonts w:ascii="Century Gothic" w:hAnsi="Century Gothic"/>
        </w:rPr>
        <w:t xml:space="preserve">espaces de conservation </w:t>
      </w:r>
      <w:r>
        <w:rPr>
          <w:rFonts w:ascii="Century Gothic" w:hAnsi="Century Gothic"/>
        </w:rPr>
        <w:t>de</w:t>
      </w:r>
      <w:r>
        <w:rPr>
          <w:rFonts w:ascii="Century Gothic" w:hAnsi="Century Gothic"/>
        </w:rPr>
        <w:t xml:space="preserve"> </w:t>
      </w:r>
      <w:r>
        <w:rPr>
          <w:rFonts w:ascii="Century Gothic" w:hAnsi="Century Gothic"/>
        </w:rPr>
        <w:t xml:space="preserve">de </w:t>
      </w:r>
      <w:r>
        <w:rPr>
          <w:rFonts w:ascii="Century Gothic" w:hAnsi="Century Gothic"/>
          <w:spacing w:val="-1"/>
        </w:rPr>
        <w:t xml:space="preserve">Kaya et de </w:t>
      </w:r>
      <w:r>
        <w:rPr>
          <w:rFonts w:ascii="Century Gothic" w:hAnsi="Century Gothic"/>
        </w:rPr>
        <w:t>Tangassogo </w:t>
      </w:r>
      <w:r>
        <w:rPr>
          <w:rFonts w:ascii="Century Gothic" w:hAnsi="Century Gothic"/>
        </w:rPr>
        <w:t>;</w:t>
      </w:r>
    </w:p>
    <w:p>
      <w:pPr>
        <w:pStyle w:val="style0"/>
        <w:widowControl w:val="false"/>
        <w:tabs>
          <w:tab w:val="left" w:leader="none" w:pos="9214"/>
          <w:tab w:val="left" w:leader="none" w:pos="9639"/>
        </w:tabs>
        <w:autoSpaceDE w:val="false"/>
        <w:autoSpaceDN w:val="false"/>
        <w:adjustRightInd w:val="false"/>
        <w:jc w:val="both"/>
        <w:rPr>
          <w:rFonts w:ascii="Century Gothic" w:hAnsi="Century Gothic"/>
        </w:rPr>
      </w:pPr>
    </w:p>
    <w:p>
      <w:pPr>
        <w:pStyle w:val="style179"/>
        <w:numPr>
          <w:ilvl w:val="0"/>
          <w:numId w:val="7"/>
        </w:numPr>
        <w:tabs>
          <w:tab w:val="left" w:leader="none" w:pos="9214"/>
          <w:tab w:val="left" w:leader="none" w:pos="9639"/>
        </w:tabs>
        <w:ind w:left="360"/>
        <w:jc w:val="both"/>
        <w:rPr>
          <w:rFonts w:ascii="Century Gothic" w:hAnsi="Century Gothic"/>
        </w:rPr>
      </w:pPr>
      <w:r>
        <w:rPr>
          <w:rFonts w:ascii="Century Gothic" w:hAnsi="Century Gothic"/>
        </w:rPr>
        <w:t>Assurer une gestion efficiente des ressources financières, une capitalisation et une large diffusion des résultats du PDIC/REDD+</w:t>
      </w:r>
      <w:r>
        <w:rPr>
          <w:rFonts w:ascii="Century Gothic" w:hAnsi="Century Gothic"/>
        </w:rPr>
        <w:t xml:space="preserve"> de </w:t>
      </w:r>
      <w:r>
        <w:rPr>
          <w:rFonts w:ascii="Century Gothic" w:hAnsi="Century Gothic"/>
        </w:rPr>
        <w:t>Tiébélé</w:t>
      </w:r>
      <w:r>
        <w:rPr>
          <w:rFonts w:ascii="Century Gothic" w:hAnsi="Century Gothic"/>
        </w:rPr>
        <w:t>.</w:t>
      </w:r>
    </w:p>
    <w:p>
      <w:pPr>
        <w:pStyle w:val="style0"/>
        <w:tabs>
          <w:tab w:val="left" w:leader="none" w:pos="9214"/>
          <w:tab w:val="left" w:leader="none" w:pos="9639"/>
        </w:tabs>
        <w:jc w:val="both"/>
        <w:rPr>
          <w:rFonts w:ascii="Century Gothic" w:hAnsi="Century Gothic"/>
          <w:b/>
          <w:color w:val="ff0000"/>
        </w:rPr>
      </w:pPr>
    </w:p>
    <w:p>
      <w:pPr>
        <w:pStyle w:val="style0"/>
        <w:tabs>
          <w:tab w:val="left" w:leader="none" w:pos="9214"/>
          <w:tab w:val="left" w:leader="none" w:pos="9639"/>
        </w:tabs>
        <w:jc w:val="both"/>
        <w:rPr>
          <w:rFonts w:ascii="Century Gothic" w:hAnsi="Century Gothic"/>
          <w:b/>
        </w:rPr>
      </w:pPr>
      <w:r>
        <w:rPr>
          <w:rFonts w:ascii="Century Gothic" w:hAnsi="Century Gothic"/>
          <w:b/>
        </w:rPr>
        <w:t>Les résultats attendus sont :</w:t>
      </w:r>
    </w:p>
    <w:p>
      <w:pPr>
        <w:pStyle w:val="style0"/>
        <w:tabs>
          <w:tab w:val="left" w:leader="none" w:pos="9214"/>
          <w:tab w:val="left" w:leader="none" w:pos="9639"/>
        </w:tabs>
        <w:jc w:val="both"/>
        <w:rPr>
          <w:rFonts w:ascii="Century Gothic" w:hAnsi="Century Gothic"/>
          <w:b/>
        </w:rPr>
      </w:pPr>
    </w:p>
    <w:p>
      <w:pPr>
        <w:pStyle w:val="style179"/>
        <w:numPr>
          <w:ilvl w:val="0"/>
          <w:numId w:val="8"/>
        </w:numPr>
        <w:tabs>
          <w:tab w:val="left" w:leader="none" w:pos="9214"/>
          <w:tab w:val="left" w:leader="none" w:pos="9639"/>
        </w:tabs>
        <w:ind w:left="360"/>
        <w:jc w:val="both"/>
        <w:rPr>
          <w:rFonts w:ascii="Century Gothic" w:hAnsi="Century Gothic"/>
        </w:rPr>
      </w:pPr>
      <w:r>
        <w:rPr>
          <w:rFonts w:ascii="Century Gothic" w:hAnsi="Century Gothic"/>
        </w:rPr>
        <w:t xml:space="preserve">Au moins </w:t>
      </w:r>
      <w:r>
        <w:rPr>
          <w:rFonts w:ascii="Century Gothic" w:hAnsi="Century Gothic"/>
        </w:rPr>
        <w:t xml:space="preserve">764,61 </w:t>
      </w:r>
      <w:r>
        <w:rPr>
          <w:rFonts w:ascii="Century Gothic" w:hAnsi="Century Gothic"/>
        </w:rPr>
        <w:t>hectares</w:t>
      </w:r>
      <w:r>
        <w:rPr>
          <w:rStyle w:val="style38"/>
          <w:rFonts w:ascii="Century Gothic" w:hAnsi="Century Gothic"/>
        </w:rPr>
        <w:footnoteReference w:id="2"/>
      </w:r>
      <w:r>
        <w:rPr>
          <w:rFonts w:ascii="Century Gothic" w:hAnsi="Century Gothic"/>
        </w:rPr>
        <w:t xml:space="preserve"> de terres communales dont </w:t>
      </w:r>
      <w:r>
        <w:rPr>
          <w:rFonts w:ascii="Century Gothic" w:hAnsi="Century Gothic"/>
        </w:rPr>
        <w:t>490,</w:t>
      </w:r>
      <w:r>
        <w:rPr>
          <w:rFonts w:ascii="Century Gothic" w:hAnsi="Century Gothic"/>
        </w:rPr>
        <w:t>8</w:t>
      </w:r>
      <w:r>
        <w:rPr>
          <w:rFonts w:ascii="Century Gothic" w:hAnsi="Century Gothic"/>
        </w:rPr>
        <w:t>6</w:t>
      </w:r>
      <w:r>
        <w:rPr>
          <w:rFonts w:ascii="Century Gothic" w:hAnsi="Century Gothic"/>
        </w:rPr>
        <w:t xml:space="preserve"> </w:t>
      </w:r>
      <w:r>
        <w:rPr>
          <w:rFonts w:ascii="Century Gothic" w:hAnsi="Century Gothic"/>
        </w:rPr>
        <w:t xml:space="preserve">hectares </w:t>
      </w:r>
      <w:r>
        <w:rPr>
          <w:rFonts w:ascii="Century Gothic" w:hAnsi="Century Gothic"/>
        </w:rPr>
        <w:t xml:space="preserve">de forêts </w:t>
      </w:r>
      <w:r>
        <w:rPr>
          <w:rFonts w:ascii="Century Gothic" w:hAnsi="Century Gothic"/>
        </w:rPr>
        <w:t xml:space="preserve">sont aménagés et sécurisés d’ici </w:t>
      </w:r>
      <w:r>
        <w:rPr>
          <w:rFonts w:ascii="Century Gothic" w:hAnsi="Century Gothic"/>
        </w:rPr>
        <w:t>Décembre 20</w:t>
      </w:r>
      <w:r>
        <w:rPr>
          <w:rFonts w:ascii="Century Gothic" w:hAnsi="Century Gothic"/>
        </w:rPr>
        <w:t>26 ;</w:t>
      </w:r>
    </w:p>
    <w:p>
      <w:pPr>
        <w:pStyle w:val="style179"/>
        <w:tabs>
          <w:tab w:val="left" w:leader="none" w:pos="9214"/>
          <w:tab w:val="left" w:leader="none" w:pos="9639"/>
        </w:tabs>
        <w:ind w:left="-1080"/>
        <w:jc w:val="both"/>
        <w:rPr>
          <w:rFonts w:ascii="Century Gothic" w:hAnsi="Century Gothic"/>
        </w:rPr>
      </w:pPr>
    </w:p>
    <w:p>
      <w:pPr>
        <w:pStyle w:val="style179"/>
        <w:numPr>
          <w:ilvl w:val="0"/>
          <w:numId w:val="8"/>
        </w:numPr>
        <w:tabs>
          <w:tab w:val="left" w:leader="none" w:pos="9214"/>
          <w:tab w:val="left" w:leader="none" w:pos="9639"/>
        </w:tabs>
        <w:ind w:left="360"/>
        <w:jc w:val="both"/>
        <w:rPr>
          <w:rFonts w:ascii="Century Gothic" w:hAnsi="Century Gothic"/>
        </w:rPr>
      </w:pPr>
      <w:r>
        <w:rPr>
          <w:rFonts w:ascii="Century Gothic" w:hAnsi="Century Gothic"/>
        </w:rPr>
        <w:t xml:space="preserve">Au moins </w:t>
      </w:r>
      <w:r>
        <w:rPr>
          <w:rFonts w:ascii="Century Gothic" w:hAnsi="Century Gothic"/>
        </w:rPr>
        <w:t>7472</w:t>
      </w:r>
      <w:r>
        <w:rPr>
          <w:rFonts w:ascii="Century Gothic" w:hAnsi="Century Gothic"/>
        </w:rPr>
        <w:t xml:space="preserve"> </w:t>
      </w:r>
      <w:r>
        <w:rPr>
          <w:rFonts w:ascii="Century Gothic" w:hAnsi="Century Gothic"/>
        </w:rPr>
        <w:t>bénéficiaires</w:t>
      </w:r>
      <w:r>
        <w:rPr>
          <w:rStyle w:val="style38"/>
          <w:rFonts w:ascii="Century Gothic" w:hAnsi="Century Gothic"/>
        </w:rPr>
        <w:footnoteReference w:id="3"/>
      </w:r>
      <w:r>
        <w:rPr>
          <w:rFonts w:ascii="Century Gothic" w:hAnsi="Century Gothic"/>
        </w:rPr>
        <w:t xml:space="preserve"> directs</w:t>
      </w:r>
      <w:r>
        <w:rPr>
          <w:rFonts w:ascii="Century Gothic" w:hAnsi="Century Gothic"/>
        </w:rPr>
        <w:t xml:space="preserve"> </w:t>
      </w:r>
      <w:r>
        <w:rPr>
          <w:rFonts w:ascii="Century Gothic" w:hAnsi="Century Gothic"/>
        </w:rPr>
        <w:t xml:space="preserve">dont </w:t>
      </w:r>
      <w:r>
        <w:rPr>
          <w:rFonts w:ascii="Century Gothic" w:hAnsi="Century Gothic"/>
        </w:rPr>
        <w:t>3497</w:t>
      </w:r>
      <w:r>
        <w:rPr>
          <w:rFonts w:ascii="Century Gothic" w:hAnsi="Century Gothic"/>
        </w:rPr>
        <w:t xml:space="preserve"> femmes </w:t>
      </w:r>
      <w:r>
        <w:rPr>
          <w:rFonts w:ascii="Century Gothic" w:hAnsi="Century Gothic"/>
        </w:rPr>
        <w:t xml:space="preserve">mettent en œuvre des initiatives d’amélioration des productivités agropastorales et des revenus </w:t>
      </w:r>
      <w:r>
        <w:rPr>
          <w:rFonts w:ascii="Century Gothic" w:hAnsi="Century Gothic"/>
        </w:rPr>
        <w:t xml:space="preserve">dans les espaces de conservation de </w:t>
      </w:r>
      <w:r>
        <w:rPr>
          <w:rFonts w:ascii="Century Gothic" w:hAnsi="Century Gothic"/>
        </w:rPr>
        <w:t xml:space="preserve">de </w:t>
      </w:r>
      <w:r>
        <w:rPr>
          <w:rFonts w:ascii="Century Gothic" w:hAnsi="Century Gothic"/>
          <w:spacing w:val="-1"/>
        </w:rPr>
        <w:t xml:space="preserve">Kaya et de </w:t>
      </w:r>
      <w:r>
        <w:rPr>
          <w:rFonts w:ascii="Century Gothic" w:hAnsi="Century Gothic"/>
        </w:rPr>
        <w:t xml:space="preserve">Tangassogo  </w:t>
      </w:r>
      <w:r>
        <w:rPr>
          <w:rFonts w:ascii="Century Gothic" w:hAnsi="Century Gothic"/>
        </w:rPr>
        <w:t>entre J</w:t>
      </w:r>
      <w:r>
        <w:rPr>
          <w:rFonts w:ascii="Century Gothic" w:hAnsi="Century Gothic"/>
        </w:rPr>
        <w:t>anvier 2022</w:t>
      </w:r>
      <w:r>
        <w:rPr>
          <w:rFonts w:ascii="Century Gothic" w:hAnsi="Century Gothic"/>
        </w:rPr>
        <w:t xml:space="preserve"> et </w:t>
      </w:r>
      <w:r>
        <w:rPr>
          <w:rFonts w:ascii="Century Gothic" w:hAnsi="Century Gothic"/>
        </w:rPr>
        <w:t>Décembre 2026 ;</w:t>
      </w:r>
    </w:p>
    <w:p>
      <w:pPr>
        <w:pStyle w:val="style0"/>
        <w:tabs>
          <w:tab w:val="left" w:leader="none" w:pos="9214"/>
          <w:tab w:val="left" w:leader="none" w:pos="9639"/>
        </w:tabs>
        <w:ind w:left="-1080"/>
        <w:jc w:val="both"/>
        <w:rPr>
          <w:rFonts w:ascii="Century Gothic" w:hAnsi="Century Gothic"/>
        </w:rPr>
      </w:pPr>
    </w:p>
    <w:p>
      <w:pPr>
        <w:pStyle w:val="style179"/>
        <w:numPr>
          <w:ilvl w:val="0"/>
          <w:numId w:val="8"/>
        </w:numPr>
        <w:tabs>
          <w:tab w:val="left" w:leader="none" w:pos="9214"/>
          <w:tab w:val="left" w:leader="none" w:pos="9639"/>
        </w:tabs>
        <w:ind w:left="360"/>
        <w:jc w:val="both"/>
        <w:rPr>
          <w:rFonts w:ascii="Century Gothic" w:hAnsi="Century Gothic"/>
        </w:rPr>
      </w:pPr>
      <w:r>
        <w:rPr>
          <w:rFonts w:ascii="Century Gothic" w:hAnsi="Century Gothic"/>
        </w:rPr>
        <w:t xml:space="preserve">Les résultats et enseignements du </w:t>
      </w:r>
      <w:r>
        <w:rPr>
          <w:rFonts w:ascii="Century Gothic" w:hAnsi="Century Gothic"/>
        </w:rPr>
        <w:t xml:space="preserve">PDIC/REDD+ de </w:t>
      </w:r>
      <w:r>
        <w:rPr>
          <w:rFonts w:ascii="Century Gothic" w:hAnsi="Century Gothic"/>
        </w:rPr>
        <w:t>Tiébélé</w:t>
      </w:r>
      <w:r>
        <w:rPr>
          <w:rFonts w:ascii="Century Gothic" w:hAnsi="Century Gothic"/>
        </w:rPr>
        <w:t xml:space="preserve"> sont capitalisés et largement diffusés entre </w:t>
      </w:r>
      <w:r>
        <w:rPr>
          <w:rFonts w:ascii="Century Gothic" w:hAnsi="Century Gothic"/>
        </w:rPr>
        <w:t>Janvier 2022 et Décembre 2026.</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L’atteinte de ces résultats passe par la réalisation d’un certain nombre d’activités relatives :</w:t>
      </w:r>
    </w:p>
    <w:p>
      <w:pPr>
        <w:pStyle w:val="style0"/>
        <w:tabs>
          <w:tab w:val="left" w:leader="none" w:pos="9214"/>
          <w:tab w:val="left" w:leader="none" w:pos="9639"/>
        </w:tabs>
        <w:jc w:val="both"/>
        <w:rPr>
          <w:rFonts w:ascii="Century Gothic" w:hAnsi="Century Gothic"/>
        </w:rPr>
      </w:pPr>
    </w:p>
    <w:p>
      <w:pPr>
        <w:pStyle w:val="style179"/>
        <w:numPr>
          <w:ilvl w:val="0"/>
          <w:numId w:val="5"/>
        </w:numPr>
        <w:tabs>
          <w:tab w:val="left" w:leader="none" w:pos="9214"/>
          <w:tab w:val="left" w:leader="none" w:pos="9639"/>
        </w:tabs>
        <w:ind w:left="360"/>
        <w:jc w:val="both"/>
        <w:rPr>
          <w:rFonts w:ascii="Century Gothic" w:hAnsi="Century Gothic"/>
        </w:rPr>
      </w:pPr>
      <w:r>
        <w:rPr>
          <w:rFonts w:ascii="Century Gothic" w:hAnsi="Century Gothic"/>
          <w:i/>
          <w:u w:val="single"/>
        </w:rPr>
        <w:t xml:space="preserve">à l’amélioration </w:t>
      </w:r>
      <w:r>
        <w:rPr>
          <w:rFonts w:ascii="Century Gothic" w:hAnsi="Century Gothic"/>
          <w:i/>
          <w:u w:val="single"/>
        </w:rPr>
        <w:t>du potentiel de séquestration</w:t>
      </w:r>
      <w:r>
        <w:rPr>
          <w:rFonts w:ascii="Century Gothic" w:hAnsi="Century Gothic"/>
          <w:i/>
          <w:u w:val="single"/>
        </w:rPr>
        <w:t xml:space="preserve"> </w:t>
      </w:r>
      <w:r>
        <w:rPr>
          <w:rFonts w:ascii="Century Gothic" w:hAnsi="Century Gothic"/>
          <w:i/>
          <w:u w:val="single"/>
        </w:rPr>
        <w:t>du</w:t>
      </w:r>
      <w:r>
        <w:rPr>
          <w:rFonts w:ascii="Century Gothic" w:hAnsi="Century Gothic"/>
          <w:i/>
          <w:u w:val="single"/>
        </w:rPr>
        <w:t xml:space="preserve"> </w:t>
      </w:r>
      <w:r>
        <w:rPr>
          <w:rFonts w:ascii="Century Gothic" w:hAnsi="Century Gothic"/>
          <w:i/>
          <w:u w:val="single"/>
        </w:rPr>
        <w:t>carbone</w:t>
      </w:r>
      <w:r>
        <w:rPr>
          <w:rFonts w:ascii="Century Gothic" w:hAnsi="Century Gothic"/>
          <w:i/>
          <w:u w:val="single"/>
        </w:rPr>
        <w:t xml:space="preserve"> </w:t>
      </w:r>
      <w:r>
        <w:rPr>
          <w:rFonts w:ascii="Century Gothic" w:hAnsi="Century Gothic"/>
        </w:rPr>
        <w:t xml:space="preserve">de la Commune à travers des activités </w:t>
      </w:r>
      <w:r>
        <w:rPr>
          <w:rFonts w:ascii="Century Gothic" w:hAnsi="Century Gothic"/>
          <w:b/>
        </w:rPr>
        <w:t>d’aménagement</w:t>
      </w:r>
      <w:r>
        <w:rPr>
          <w:rFonts w:ascii="Century Gothic" w:hAnsi="Century Gothic"/>
        </w:rPr>
        <w:t xml:space="preserve"> (délimitation, matérialisation des limites, renforcement du couvert végétal, etc.) et de </w:t>
      </w:r>
      <w:r>
        <w:rPr>
          <w:rFonts w:ascii="Century Gothic" w:hAnsi="Century Gothic"/>
          <w:b/>
        </w:rPr>
        <w:t>gestion</w:t>
      </w:r>
      <w:r>
        <w:rPr>
          <w:rFonts w:ascii="Century Gothic" w:hAnsi="Century Gothic"/>
        </w:rPr>
        <w:t xml:space="preserve"> (mise en place</w:t>
      </w:r>
      <w:r>
        <w:rPr>
          <w:rFonts w:ascii="Century Gothic" w:hAnsi="Century Gothic"/>
        </w:rPr>
        <w:t xml:space="preserve"> </w:t>
      </w:r>
      <w:r>
        <w:rPr>
          <w:rFonts w:ascii="Century Gothic" w:hAnsi="Century Gothic"/>
        </w:rPr>
        <w:t>de</w:t>
      </w:r>
      <w:r>
        <w:rPr>
          <w:rFonts w:ascii="Century Gothic" w:hAnsi="Century Gothic"/>
        </w:rPr>
        <w:t xml:space="preserve"> comités de gestion</w:t>
      </w:r>
      <w:r>
        <w:rPr>
          <w:rFonts w:ascii="Century Gothic" w:hAnsi="Century Gothic"/>
        </w:rPr>
        <w:t xml:space="preserve"> et renforcement de leurs capacités</w:t>
      </w:r>
      <w:r>
        <w:rPr>
          <w:rFonts w:ascii="Century Gothic" w:hAnsi="Century Gothic"/>
        </w:rPr>
        <w:t xml:space="preserve">) </w:t>
      </w:r>
      <w:r>
        <w:rPr>
          <w:rFonts w:ascii="Century Gothic" w:hAnsi="Century Gothic"/>
        </w:rPr>
        <w:t>des forêts villageoises de</w:t>
      </w:r>
      <w:r>
        <w:rPr>
          <w:rFonts w:ascii="Century Gothic" w:hAnsi="Century Gothic"/>
          <w:spacing w:val="-1"/>
        </w:rPr>
        <w:t xml:space="preserve"> </w:t>
      </w:r>
      <w:r>
        <w:rPr>
          <w:rFonts w:ascii="Century Gothic" w:hAnsi="Century Gothic"/>
        </w:rPr>
        <w:t xml:space="preserve">de </w:t>
      </w:r>
      <w:r>
        <w:rPr>
          <w:rFonts w:ascii="Century Gothic" w:hAnsi="Century Gothic"/>
          <w:spacing w:val="-1"/>
        </w:rPr>
        <w:t xml:space="preserve">Kaya et de </w:t>
      </w:r>
      <w:r>
        <w:rPr>
          <w:rFonts w:ascii="Century Gothic" w:hAnsi="Century Gothic"/>
        </w:rPr>
        <w:t>Tangassogo </w:t>
      </w:r>
      <w:r>
        <w:rPr>
          <w:rFonts w:ascii="Century Gothic" w:hAnsi="Century Gothic"/>
        </w:rPr>
        <w:t>;</w:t>
      </w:r>
    </w:p>
    <w:p>
      <w:pPr>
        <w:pStyle w:val="style179"/>
        <w:tabs>
          <w:tab w:val="left" w:leader="none" w:pos="9214"/>
          <w:tab w:val="left" w:leader="none" w:pos="9639"/>
        </w:tabs>
        <w:ind w:left="0"/>
        <w:jc w:val="both"/>
        <w:rPr>
          <w:rFonts w:ascii="Century Gothic" w:hAnsi="Century Gothic"/>
        </w:rPr>
      </w:pPr>
    </w:p>
    <w:p>
      <w:pPr>
        <w:pStyle w:val="style179"/>
        <w:numPr>
          <w:ilvl w:val="0"/>
          <w:numId w:val="5"/>
        </w:numPr>
        <w:tabs>
          <w:tab w:val="left" w:leader="none" w:pos="9214"/>
          <w:tab w:val="left" w:leader="none" w:pos="9639"/>
        </w:tabs>
        <w:ind w:left="360"/>
        <w:jc w:val="both"/>
        <w:rPr>
          <w:rFonts w:ascii="Century Gothic" w:hAnsi="Century Gothic"/>
        </w:rPr>
      </w:pPr>
      <w:r>
        <w:rPr>
          <w:rFonts w:ascii="Century Gothic" w:hAnsi="Century Gothic"/>
          <w:i/>
          <w:u w:val="single"/>
        </w:rPr>
        <w:t xml:space="preserve">au </w:t>
      </w:r>
      <w:r>
        <w:rPr>
          <w:rFonts w:ascii="Century Gothic" w:hAnsi="Century Gothic"/>
          <w:i/>
          <w:u w:val="single"/>
        </w:rPr>
        <w:t>développement d’initiatives d’atténuation des pressions</w:t>
      </w:r>
      <w:r>
        <w:rPr>
          <w:rFonts w:ascii="Century Gothic" w:hAnsi="Century Gothic"/>
        </w:rPr>
        <w:t xml:space="preserve"> sur</w:t>
      </w:r>
      <w:r>
        <w:rPr>
          <w:rFonts w:ascii="Century Gothic" w:hAnsi="Century Gothic"/>
        </w:rPr>
        <w:t xml:space="preserve"> </w:t>
      </w:r>
      <w:r>
        <w:rPr>
          <w:rFonts w:ascii="Century Gothic" w:hAnsi="Century Gothic"/>
        </w:rPr>
        <w:t xml:space="preserve">les espaces de conservation de </w:t>
      </w:r>
      <w:r>
        <w:rPr>
          <w:rFonts w:ascii="Century Gothic" w:hAnsi="Century Gothic"/>
          <w:spacing w:val="-1"/>
        </w:rPr>
        <w:t xml:space="preserve">Kaya et de </w:t>
      </w:r>
      <w:r>
        <w:rPr>
          <w:rFonts w:ascii="Century Gothic" w:hAnsi="Century Gothic"/>
        </w:rPr>
        <w:t xml:space="preserve">Tangassogo  </w:t>
      </w:r>
      <w:r>
        <w:rPr>
          <w:rFonts w:ascii="Century Gothic" w:hAnsi="Century Gothic"/>
        </w:rPr>
        <w:t xml:space="preserve">à travers des activités </w:t>
      </w:r>
      <w:r>
        <w:rPr>
          <w:rFonts w:ascii="Century Gothic" w:hAnsi="Century Gothic"/>
          <w:b/>
        </w:rPr>
        <w:t>d’amélioration</w:t>
      </w:r>
      <w:r>
        <w:rPr>
          <w:rFonts w:ascii="Century Gothic" w:hAnsi="Century Gothic"/>
        </w:rPr>
        <w:t xml:space="preserve"> des productivités agricoles (</w:t>
      </w:r>
      <w:r>
        <w:rPr>
          <w:rFonts w:ascii="Century Gothic" w:hAnsi="Century Gothic"/>
        </w:rPr>
        <w:t>production et uti</w:t>
      </w:r>
      <w:r>
        <w:rPr>
          <w:rFonts w:ascii="Century Gothic" w:hAnsi="Century Gothic"/>
        </w:rPr>
        <w:t>lisation de la fumure organique</w:t>
      </w:r>
      <w:r>
        <w:rPr>
          <w:rFonts w:ascii="Century Gothic" w:hAnsi="Century Gothic"/>
        </w:rPr>
        <w:t xml:space="preserve">), pastorales (production du fourrage) et sylvicoles (plantations) et de </w:t>
      </w:r>
      <w:r>
        <w:rPr>
          <w:rFonts w:ascii="Century Gothic" w:hAnsi="Century Gothic"/>
          <w:b/>
        </w:rPr>
        <w:t xml:space="preserve">valorisation </w:t>
      </w:r>
      <w:r>
        <w:rPr>
          <w:rFonts w:ascii="Century Gothic" w:hAnsi="Century Gothic"/>
        </w:rPr>
        <w:t>des ress</w:t>
      </w:r>
      <w:r>
        <w:rPr>
          <w:rFonts w:ascii="Century Gothic" w:hAnsi="Century Gothic"/>
        </w:rPr>
        <w:t>ources forestières (apiculture</w:t>
      </w:r>
      <w:r>
        <w:rPr>
          <w:rFonts w:ascii="Century Gothic" w:hAnsi="Century Gothic"/>
        </w:rPr>
        <w:t>).</w:t>
      </w:r>
    </w:p>
    <w:p>
      <w:pPr>
        <w:pStyle w:val="style0"/>
        <w:tabs>
          <w:tab w:val="left" w:leader="none" w:pos="9214"/>
          <w:tab w:val="left" w:leader="none" w:pos="9639"/>
        </w:tabs>
        <w:jc w:val="both"/>
        <w:rPr>
          <w:rFonts w:ascii="Century Gothic" w:hAnsi="Century Gothic"/>
        </w:rPr>
      </w:pPr>
    </w:p>
    <w:p>
      <w:pPr>
        <w:pStyle w:val="style179"/>
        <w:numPr>
          <w:ilvl w:val="0"/>
          <w:numId w:val="5"/>
        </w:numPr>
        <w:tabs>
          <w:tab w:val="left" w:leader="none" w:pos="9214"/>
          <w:tab w:val="left" w:leader="none" w:pos="9639"/>
        </w:tabs>
        <w:ind w:left="360"/>
        <w:jc w:val="both"/>
        <w:rPr>
          <w:rFonts w:ascii="Century Gothic" w:hAnsi="Century Gothic"/>
        </w:rPr>
      </w:pPr>
      <w:r>
        <w:rPr>
          <w:rFonts w:ascii="Century Gothic" w:hAnsi="Century Gothic"/>
          <w:i/>
          <w:u w:val="single"/>
        </w:rPr>
        <w:t xml:space="preserve">à l’habilitation </w:t>
      </w:r>
      <w:r>
        <w:rPr>
          <w:rFonts w:ascii="Century Gothic" w:hAnsi="Century Gothic"/>
          <w:i/>
          <w:u w:val="single"/>
        </w:rPr>
        <w:t>des communautés et des institutions locales</w:t>
      </w:r>
      <w:r>
        <w:rPr>
          <w:rFonts w:ascii="Century Gothic" w:hAnsi="Century Gothic"/>
        </w:rPr>
        <w:t xml:space="preserve"> à la gestion durable des investissements à travers des activités de </w:t>
      </w:r>
      <w:r>
        <w:rPr>
          <w:rFonts w:ascii="Century Gothic" w:hAnsi="Century Gothic"/>
          <w:b/>
        </w:rPr>
        <w:t>renforcement des capacités</w:t>
      </w:r>
      <w:r>
        <w:rPr>
          <w:rFonts w:ascii="Century Gothic" w:hAnsi="Century Gothic"/>
        </w:rPr>
        <w:t xml:space="preserve"> des populations (formations, mise en place de comités de gestion</w:t>
      </w:r>
      <w:r>
        <w:rPr>
          <w:rFonts w:ascii="Century Gothic" w:hAnsi="Century Gothic"/>
        </w:rPr>
        <w:t>).</w:t>
      </w:r>
    </w:p>
    <w:p>
      <w:pPr>
        <w:pStyle w:val="style0"/>
        <w:tabs>
          <w:tab w:val="left" w:leader="none" w:pos="9214"/>
          <w:tab w:val="left" w:leader="none" w:pos="9639"/>
        </w:tabs>
        <w:jc w:val="both"/>
        <w:rPr>
          <w:rFonts w:ascii="Century Gothic" w:hAnsi="Century Gothic"/>
        </w:rPr>
      </w:pPr>
    </w:p>
    <w:bookmarkStart w:id="19" w:name="_Toc82046071"/>
    <w:p>
      <w:pPr>
        <w:pStyle w:val="style1"/>
        <w:numPr>
          <w:ilvl w:val="0"/>
          <w:numId w:val="0"/>
        </w:numPr>
        <w:tabs>
          <w:tab w:val="left" w:leader="none" w:pos="9214"/>
          <w:tab w:val="left" w:leader="none" w:pos="9639"/>
        </w:tabs>
        <w:spacing w:before="0" w:after="0"/>
        <w:rPr>
          <w:rFonts w:ascii="Century Gothic" w:hAnsi="Century Gothic"/>
          <w:sz w:val="24"/>
          <w:szCs w:val="24"/>
          <w:u w:val="single"/>
        </w:rPr>
      </w:pPr>
      <w:r>
        <w:rPr>
          <w:rFonts w:ascii="Century Gothic" w:hAnsi="Century Gothic"/>
          <w:sz w:val="24"/>
          <w:szCs w:val="24"/>
          <w:u w:val="single"/>
        </w:rPr>
        <w:t>IV</w:t>
      </w:r>
      <w:r>
        <w:rPr>
          <w:rFonts w:ascii="Century Gothic" w:hAnsi="Century Gothic"/>
          <w:sz w:val="24"/>
          <w:szCs w:val="24"/>
          <w:u w:val="single"/>
        </w:rPr>
        <w:t>. Espaces de conservation de la commune</w:t>
      </w:r>
      <w:bookmarkEnd w:id="19"/>
    </w:p>
    <w:p>
      <w:pPr>
        <w:pStyle w:val="style0"/>
        <w:widowControl w:val="false"/>
        <w:tabs>
          <w:tab w:val="left" w:leader="none" w:pos="9214"/>
          <w:tab w:val="left" w:leader="none" w:pos="9639"/>
        </w:tabs>
        <w:autoSpaceDE w:val="false"/>
        <w:autoSpaceDN w:val="false"/>
        <w:adjustRightInd w:val="false"/>
        <w:ind w:hanging="360"/>
        <w:jc w:val="both"/>
        <w:rPr>
          <w:rFonts w:ascii="Century Gothic" w:hAnsi="Century Gothic"/>
          <w:b/>
          <w:u w:val="single"/>
        </w:rPr>
      </w:pPr>
    </w:p>
    <w:bookmarkStart w:id="20" w:name="_Toc82046072"/>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4</w:t>
      </w:r>
      <w:r>
        <w:rPr>
          <w:rFonts w:ascii="Century Gothic" w:hAnsi="Century Gothic"/>
          <w:szCs w:val="24"/>
        </w:rPr>
        <w:t xml:space="preserve">.1. </w:t>
      </w:r>
      <w:r>
        <w:rPr>
          <w:rFonts w:ascii="Century Gothic" w:hAnsi="Century Gothic"/>
          <w:szCs w:val="24"/>
        </w:rPr>
        <w:t xml:space="preserve">Espace de conservation de </w:t>
      </w:r>
      <w:r>
        <w:rPr>
          <w:rFonts w:ascii="Century Gothic" w:hAnsi="Century Gothic"/>
          <w:szCs w:val="24"/>
        </w:rPr>
        <w:t>Kaya</w:t>
      </w:r>
      <w:bookmarkEnd w:id="20"/>
    </w:p>
    <w:p>
      <w:pPr>
        <w:pStyle w:val="style0"/>
        <w:tabs>
          <w:tab w:val="left" w:leader="none" w:pos="9214"/>
          <w:tab w:val="left" w:leader="none" w:pos="9639"/>
        </w:tabs>
        <w:rPr>
          <w:rFonts w:ascii="Century Gothic" w:hAnsi="Century Gothic"/>
        </w:rPr>
      </w:pPr>
    </w:p>
    <w:bookmarkStart w:id="21" w:name="_Toc82046073"/>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4</w:t>
      </w:r>
      <w:r>
        <w:rPr>
          <w:rFonts w:ascii="Century Gothic" w:hAnsi="Century Gothic"/>
          <w:szCs w:val="24"/>
        </w:rPr>
        <w:t>.1.</w:t>
      </w:r>
      <w:r>
        <w:rPr>
          <w:rFonts w:ascii="Century Gothic" w:hAnsi="Century Gothic"/>
          <w:szCs w:val="24"/>
        </w:rPr>
        <w:t>1.</w:t>
      </w:r>
      <w:r>
        <w:rPr>
          <w:rFonts w:ascii="Century Gothic" w:hAnsi="Century Gothic"/>
          <w:szCs w:val="24"/>
        </w:rPr>
        <w:t xml:space="preserve"> </w:t>
      </w:r>
      <w:r>
        <w:rPr>
          <w:rFonts w:ascii="Century Gothic" w:hAnsi="Century Gothic"/>
          <w:szCs w:val="24"/>
        </w:rPr>
        <w:t>Description de</w:t>
      </w:r>
      <w:r>
        <w:rPr>
          <w:rFonts w:ascii="Century Gothic" w:hAnsi="Century Gothic"/>
          <w:szCs w:val="24"/>
        </w:rPr>
        <w:t xml:space="preserve"> </w:t>
      </w:r>
      <w:r>
        <w:rPr>
          <w:rFonts w:ascii="Century Gothic" w:hAnsi="Century Gothic"/>
          <w:szCs w:val="24"/>
        </w:rPr>
        <w:t xml:space="preserve">la forêt </w:t>
      </w:r>
      <w:r>
        <w:rPr>
          <w:rFonts w:ascii="Century Gothic" w:hAnsi="Century Gothic"/>
          <w:szCs w:val="24"/>
        </w:rPr>
        <w:t xml:space="preserve">villageoise de </w:t>
      </w:r>
      <w:r>
        <w:rPr>
          <w:rFonts w:ascii="Century Gothic" w:hAnsi="Century Gothic"/>
          <w:szCs w:val="24"/>
        </w:rPr>
        <w:t>Kaya</w:t>
      </w:r>
      <w:bookmarkEnd w:id="21"/>
    </w:p>
    <w:p>
      <w:pPr>
        <w:pStyle w:val="style0"/>
        <w:widowControl w:val="false"/>
        <w:tabs>
          <w:tab w:val="left" w:leader="none" w:pos="9214"/>
          <w:tab w:val="left" w:leader="none" w:pos="9639"/>
        </w:tabs>
        <w:autoSpaceDE w:val="false"/>
        <w:autoSpaceDN w:val="false"/>
        <w:adjustRightInd w:val="false"/>
        <w:jc w:val="both"/>
        <w:rPr>
          <w:rFonts w:ascii="Century Gothic" w:hAnsi="Century Gothic"/>
          <w:spacing w:val="2"/>
        </w:rPr>
      </w:pPr>
    </w:p>
    <w:p>
      <w:pPr>
        <w:pStyle w:val="style0"/>
        <w:widowControl w:val="false"/>
        <w:autoSpaceDE w:val="false"/>
        <w:autoSpaceDN w:val="false"/>
        <w:adjustRightInd w:val="false"/>
        <w:jc w:val="both"/>
        <w:rPr>
          <w:rFonts w:ascii="Century Gothic" w:hAnsi="Century Gothic"/>
        </w:rPr>
      </w:pPr>
      <w:r>
        <w:rPr>
          <w:rFonts w:ascii="Century Gothic" w:hAnsi="Century Gothic"/>
          <w:spacing w:val="2"/>
        </w:rPr>
        <w:t xml:space="preserve">L’espace de conservation </w:t>
      </w:r>
      <w:r>
        <w:rPr>
          <w:rFonts w:ascii="Century Gothic" w:hAnsi="Century Gothic"/>
          <w:spacing w:val="2"/>
        </w:rPr>
        <w:t xml:space="preserve">de </w:t>
      </w:r>
      <w:r>
        <w:rPr>
          <w:rFonts w:ascii="Century Gothic" w:hAnsi="Century Gothic"/>
          <w:spacing w:val="2"/>
        </w:rPr>
        <w:t>Kaya</w:t>
      </w:r>
      <w:r>
        <w:rPr>
          <w:rFonts w:ascii="Century Gothic" w:hAnsi="Century Gothic"/>
          <w:spacing w:val="2"/>
        </w:rPr>
        <w:t xml:space="preserve"> est </w:t>
      </w:r>
      <w:r>
        <w:rPr>
          <w:rFonts w:ascii="Century Gothic" w:hAnsi="Century Gothic"/>
          <w:spacing w:val="2"/>
        </w:rPr>
        <w:t xml:space="preserve">repéré par les coordonnées de son centroïde X= </w:t>
      </w:r>
      <w:r>
        <w:rPr>
          <w:rFonts w:ascii="Century Gothic" w:hAnsi="Century Gothic"/>
          <w:spacing w:val="2"/>
        </w:rPr>
        <w:t>717033</w:t>
      </w:r>
      <w:r>
        <w:rPr>
          <w:rFonts w:ascii="Century Gothic" w:hAnsi="Century Gothic"/>
          <w:spacing w:val="2"/>
        </w:rPr>
        <w:t xml:space="preserve"> et Y = </w:t>
      </w:r>
      <w:r>
        <w:rPr>
          <w:rFonts w:ascii="Century Gothic" w:hAnsi="Century Gothic"/>
          <w:spacing w:val="2"/>
        </w:rPr>
        <w:t>1221535</w:t>
      </w:r>
      <w:r>
        <w:rPr>
          <w:rFonts w:ascii="Century Gothic" w:hAnsi="Century Gothic"/>
          <w:spacing w:val="2"/>
        </w:rPr>
        <w:t xml:space="preserve"> (WGS84, UTM zone 30N)</w:t>
      </w:r>
      <w:r>
        <w:rPr>
          <w:rFonts w:ascii="Century Gothic" w:hAnsi="Century Gothic"/>
          <w:spacing w:val="2"/>
        </w:rPr>
        <w:t>.</w:t>
      </w:r>
      <w:r>
        <w:rPr>
          <w:rFonts w:ascii="Century Gothic" w:hAnsi="Century Gothic"/>
          <w:spacing w:val="2"/>
        </w:rPr>
        <w:t xml:space="preserve"> </w:t>
      </w:r>
      <w:r>
        <w:rPr>
          <w:rFonts w:ascii="Century Gothic" w:hAnsi="Century Gothic"/>
        </w:rPr>
        <w:t xml:space="preserve">Situé dans la portion </w:t>
      </w:r>
      <w:r>
        <w:rPr>
          <w:rFonts w:ascii="Century Gothic" w:hAnsi="Century Gothic"/>
        </w:rPr>
        <w:t>Sud</w:t>
      </w:r>
      <w:r>
        <w:rPr>
          <w:rFonts w:ascii="Century Gothic" w:hAnsi="Century Gothic"/>
        </w:rPr>
        <w:t xml:space="preserve">-Ouest de l’espace communal, cette entité d’une superficie potentielle de </w:t>
      </w:r>
      <w:r>
        <w:rPr>
          <w:rFonts w:ascii="Century Gothic" w:hAnsi="Century Gothic"/>
        </w:rPr>
        <w:t xml:space="preserve">475 </w:t>
      </w:r>
      <w:r>
        <w:rPr>
          <w:rFonts w:ascii="Century Gothic" w:hAnsi="Century Gothic"/>
        </w:rPr>
        <w:t xml:space="preserve">hectares </w:t>
      </w:r>
      <w:r>
        <w:rPr>
          <w:rFonts w:ascii="Century Gothic" w:hAnsi="Century Gothic"/>
        </w:rPr>
        <w:t>est dominée par une formation arbustive. L’espace est caractérisé par un relief assez accidenté constitué de chaine de colline.</w:t>
      </w:r>
    </w:p>
    <w:tbl>
      <w:tblPr>
        <w:tblW w:w="3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3906"/>
      </w:tblGrid>
      <w:tr>
        <w:trPr>
          <w:jc w:val="center"/>
        </w:trPr>
        <w:tc>
          <w:tcPr>
            <w:tcW w:w="2505" w:type="pct"/>
            <w:tcBorders/>
            <w:shd w:val="clear" w:color="auto" w:fill="auto"/>
          </w:tcPr>
          <w:p>
            <w:pPr>
              <w:pStyle w:val="style0"/>
              <w:widowControl w:val="false"/>
              <w:autoSpaceDE w:val="false"/>
              <w:autoSpaceDN w:val="false"/>
              <w:adjustRightInd w:val="false"/>
              <w:jc w:val="both"/>
              <w:rPr>
                <w:rFonts w:ascii="Century Gothic" w:eastAsia="Calibri" w:hAnsi="Century Gothic"/>
              </w:rPr>
            </w:pPr>
            <w:r>
              <w:rPr>
                <w:rFonts w:ascii="Century Gothic" w:eastAsia="Calibri" w:hAnsi="Century Gothic"/>
                <w:noProof/>
              </w:rPr>
              <w:drawing>
                <wp:inline distL="0" distT="0" distB="0" distR="0">
                  <wp:extent cx="2333625" cy="2333625"/>
                  <wp:effectExtent l="0" t="0" r="9525" b="9525"/>
                  <wp:docPr id="1034" name="Image 3" descr="IMG_20210708_135937_76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9" cstate="print"/>
                          <a:srcRect l="0" t="0" r="0" b="0"/>
                          <a:stretch/>
                        </pic:blipFill>
                        <pic:spPr>
                          <a:xfrm rot="0">
                            <a:off x="0" y="0"/>
                            <a:ext cx="2333625" cy="2333625"/>
                          </a:xfrm>
                          <a:prstGeom prst="rect"/>
                          <a:ln>
                            <a:noFill/>
                          </a:ln>
                        </pic:spPr>
                      </pic:pic>
                    </a:graphicData>
                  </a:graphic>
                </wp:inline>
              </w:drawing>
            </w:r>
          </w:p>
          <w:p>
            <w:pPr>
              <w:pStyle w:val="style0"/>
              <w:widowControl w:val="false"/>
              <w:autoSpaceDE w:val="false"/>
              <w:autoSpaceDN w:val="false"/>
              <w:adjustRightInd w:val="false"/>
              <w:jc w:val="both"/>
              <w:rPr>
                <w:rFonts w:ascii="Century Gothic" w:eastAsia="Calibri" w:hAnsi="Century Gothic"/>
                <w:sz w:val="20"/>
                <w:szCs w:val="20"/>
              </w:rPr>
            </w:pPr>
            <w:r>
              <w:rPr>
                <w:rFonts w:ascii="Century Gothic" w:eastAsia="Calibri" w:hAnsi="Century Gothic"/>
                <w:sz w:val="20"/>
                <w:szCs w:val="20"/>
              </w:rPr>
              <w:t>Photo : vue de l’EC de Kaya</w:t>
            </w:r>
          </w:p>
        </w:tc>
        <w:tc>
          <w:tcPr>
            <w:tcW w:w="2495" w:type="pct"/>
            <w:tcBorders/>
            <w:shd w:val="clear" w:color="auto" w:fill="auto"/>
          </w:tcPr>
          <w:p>
            <w:pPr>
              <w:pStyle w:val="style0"/>
              <w:widowControl w:val="false"/>
              <w:autoSpaceDE w:val="false"/>
              <w:autoSpaceDN w:val="false"/>
              <w:adjustRightInd w:val="false"/>
              <w:jc w:val="both"/>
              <w:rPr>
                <w:rFonts w:ascii="Century Gothic" w:eastAsia="Calibri" w:hAnsi="Century Gothic"/>
              </w:rPr>
            </w:pPr>
            <w:r>
              <w:rPr>
                <w:rFonts w:ascii="Century Gothic" w:eastAsia="Calibri" w:hAnsi="Century Gothic"/>
                <w:noProof/>
              </w:rPr>
              <w:drawing>
                <wp:inline distL="0" distT="0" distB="0" distR="0">
                  <wp:extent cx="2333625" cy="2333625"/>
                  <wp:effectExtent l="0" t="0" r="9525" b="9525"/>
                  <wp:docPr id="1035" name="Image 2" descr="IMG_20210708_135931_86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2"/>
                          <pic:cNvPicPr/>
                        </pic:nvPicPr>
                        <pic:blipFill>
                          <a:blip r:embed="rId10" cstate="print"/>
                          <a:srcRect l="0" t="0" r="0" b="0"/>
                          <a:stretch/>
                        </pic:blipFill>
                        <pic:spPr>
                          <a:xfrm rot="0">
                            <a:off x="0" y="0"/>
                            <a:ext cx="2333625" cy="2333625"/>
                          </a:xfrm>
                          <a:prstGeom prst="rect"/>
                          <a:ln>
                            <a:noFill/>
                          </a:ln>
                        </pic:spPr>
                      </pic:pic>
                    </a:graphicData>
                  </a:graphic>
                </wp:inline>
              </w:drawing>
            </w:r>
          </w:p>
          <w:p>
            <w:pPr>
              <w:pStyle w:val="style0"/>
              <w:widowControl w:val="false"/>
              <w:autoSpaceDE w:val="false"/>
              <w:autoSpaceDN w:val="false"/>
              <w:adjustRightInd w:val="false"/>
              <w:jc w:val="center"/>
              <w:rPr>
                <w:rFonts w:ascii="Century Gothic" w:eastAsia="Calibri" w:hAnsi="Century Gothic"/>
                <w:sz w:val="20"/>
                <w:szCs w:val="20"/>
              </w:rPr>
            </w:pPr>
            <w:r>
              <w:rPr>
                <w:rFonts w:ascii="Century Gothic" w:eastAsia="Calibri" w:hAnsi="Century Gothic"/>
                <w:sz w:val="20"/>
                <w:szCs w:val="20"/>
              </w:rPr>
              <w:t>Photo : vue de l’EC de Kaya</w:t>
            </w:r>
          </w:p>
        </w:tc>
      </w:tr>
    </w:tbl>
    <w:p>
      <w:pPr>
        <w:pStyle w:val="style0"/>
        <w:widowControl w:val="false"/>
        <w:tabs>
          <w:tab w:val="left" w:leader="none" w:pos="9214"/>
          <w:tab w:val="left" w:leader="none" w:pos="9639"/>
        </w:tabs>
        <w:autoSpaceDE w:val="false"/>
        <w:autoSpaceDN w:val="false"/>
        <w:adjustRightInd w:val="false"/>
        <w:jc w:val="both"/>
        <w:rPr>
          <w:rFonts w:ascii="Century Gothic" w:hAnsi="Century Gothic"/>
          <w:spacing w:val="2"/>
        </w:rPr>
      </w:pPr>
    </w:p>
    <w:p>
      <w:pPr>
        <w:pStyle w:val="style0"/>
        <w:widowControl w:val="false"/>
        <w:tabs>
          <w:tab w:val="left" w:leader="none" w:pos="9214"/>
          <w:tab w:val="left" w:leader="none" w:pos="9639"/>
        </w:tabs>
        <w:autoSpaceDE w:val="false"/>
        <w:autoSpaceDN w:val="false"/>
        <w:adjustRightInd w:val="false"/>
        <w:jc w:val="both"/>
        <w:rPr>
          <w:rFonts w:ascii="Century Gothic" w:hAnsi="Century Gothic"/>
          <w:spacing w:val="2"/>
        </w:rPr>
      </w:pPr>
      <w:r>
        <w:rPr>
          <w:rFonts w:ascii="Century Gothic" w:hAnsi="Century Gothic"/>
          <w:spacing w:val="2"/>
        </w:rPr>
        <w:t>L’espace ne dispose pas de document de classement</w:t>
      </w:r>
      <w:r>
        <w:rPr>
          <w:rFonts w:ascii="Century Gothic" w:hAnsi="Century Gothic"/>
          <w:spacing w:val="2"/>
        </w:rPr>
        <w:t xml:space="preserve"> ni de comité de gestion</w:t>
      </w:r>
      <w:r>
        <w:rPr>
          <w:rFonts w:ascii="Century Gothic" w:hAnsi="Century Gothic"/>
          <w:spacing w:val="2"/>
        </w:rPr>
        <w:t>.</w:t>
      </w:r>
      <w:r>
        <w:rPr>
          <w:rFonts w:ascii="Century Gothic" w:hAnsi="Century Gothic"/>
          <w:spacing w:val="2"/>
        </w:rPr>
        <w:t xml:space="preserve"> Cependant un processus d’appui à la l’aménagement est en cours avec l’ONG TREE AID qui prévoit l’appui à l’élaboration de la charte foncière. </w:t>
      </w:r>
    </w:p>
    <w:p>
      <w:pPr>
        <w:pStyle w:val="style0"/>
        <w:spacing w:after="160" w:lineRule="auto" w:line="259"/>
        <w:rPr>
          <w:rFonts w:ascii="Century Gothic" w:hAnsi="Century Gothic"/>
          <w:spacing w:val="2"/>
        </w:rPr>
      </w:pPr>
      <w:r>
        <w:rPr>
          <w:rFonts w:ascii="Century Gothic" w:hAnsi="Century Gothic"/>
          <w:spacing w:val="2"/>
        </w:rPr>
        <w:br w:type="page"/>
      </w:r>
    </w:p>
    <w:p>
      <w:pPr>
        <w:pStyle w:val="style0"/>
        <w:widowControl w:val="false"/>
        <w:tabs>
          <w:tab w:val="left" w:leader="none" w:pos="9214"/>
          <w:tab w:val="left" w:leader="none" w:pos="9639"/>
        </w:tabs>
        <w:autoSpaceDE w:val="false"/>
        <w:autoSpaceDN w:val="false"/>
        <w:adjustRightInd w:val="false"/>
        <w:jc w:val="both"/>
        <w:rPr>
          <w:rFonts w:ascii="Century Gothic" w:hAnsi="Century Gothic"/>
          <w:spacing w:val="2"/>
        </w:rPr>
      </w:pPr>
    </w:p>
    <w:bookmarkStart w:id="22" w:name="_Toc82046074"/>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4.1.2</w:t>
      </w:r>
      <w:r>
        <w:rPr>
          <w:rFonts w:ascii="Century Gothic" w:hAnsi="Century Gothic"/>
          <w:szCs w:val="24"/>
        </w:rPr>
        <w:t>. Description détaillée des activités du PDIC REDD +</w:t>
      </w:r>
      <w:r>
        <w:rPr>
          <w:rFonts w:ascii="Century Gothic" w:hAnsi="Century Gothic"/>
          <w:szCs w:val="24"/>
        </w:rPr>
        <w:t xml:space="preserve"> de </w:t>
      </w:r>
      <w:r>
        <w:rPr>
          <w:rFonts w:ascii="Century Gothic" w:hAnsi="Century Gothic"/>
          <w:szCs w:val="24"/>
        </w:rPr>
        <w:t xml:space="preserve">l’espace de conservation de </w:t>
      </w:r>
      <w:r>
        <w:rPr>
          <w:rFonts w:ascii="Century Gothic" w:hAnsi="Century Gothic"/>
          <w:szCs w:val="24"/>
        </w:rPr>
        <w:t>Kaya</w:t>
      </w:r>
      <w:bookmarkEnd w:id="22"/>
    </w:p>
    <w:p>
      <w:pPr>
        <w:pStyle w:val="style179"/>
        <w:tabs>
          <w:tab w:val="left" w:leader="none" w:pos="9214"/>
          <w:tab w:val="left" w:leader="none" w:pos="9639"/>
        </w:tabs>
        <w:ind w:left="0"/>
        <w:jc w:val="both"/>
        <w:rPr>
          <w:rFonts w:ascii="Century Gothic" w:hAnsi="Century Gothic"/>
          <w:i/>
        </w:rPr>
      </w:pPr>
    </w:p>
    <w:bookmarkStart w:id="23" w:name="_Toc503043865"/>
    <w:bookmarkStart w:id="24" w:name="_Toc82046075"/>
    <w:p>
      <w:pPr>
        <w:pStyle w:val="style3"/>
        <w:numPr>
          <w:ilvl w:val="0"/>
          <w:numId w:val="0"/>
        </w:numPr>
        <w:tabs>
          <w:tab w:val="left" w:leader="none" w:pos="9214"/>
          <w:tab w:val="left" w:leader="none" w:pos="9639"/>
        </w:tabs>
        <w:rPr>
          <w:rFonts w:ascii="Century Gothic" w:hAnsi="Century Gothic"/>
          <w:szCs w:val="24"/>
        </w:rPr>
      </w:pPr>
      <w:r>
        <w:rPr>
          <w:rFonts w:ascii="Century Gothic" w:hAnsi="Century Gothic"/>
          <w:szCs w:val="24"/>
        </w:rPr>
        <w:t>4.1</w:t>
      </w:r>
      <w:r>
        <w:rPr>
          <w:rFonts w:ascii="Century Gothic" w:hAnsi="Century Gothic"/>
          <w:szCs w:val="24"/>
        </w:rPr>
        <w:t>.</w:t>
      </w:r>
      <w:r>
        <w:rPr>
          <w:rFonts w:ascii="Century Gothic" w:hAnsi="Century Gothic"/>
          <w:szCs w:val="24"/>
        </w:rPr>
        <w:t>2.</w:t>
      </w:r>
      <w:r>
        <w:rPr>
          <w:rFonts w:ascii="Century Gothic" w:hAnsi="Century Gothic"/>
          <w:szCs w:val="24"/>
        </w:rPr>
        <w:t>1.</w:t>
      </w:r>
      <w:bookmarkEnd w:id="23"/>
      <w:r>
        <w:rPr>
          <w:rFonts w:ascii="Century Gothic" w:hAnsi="Century Gothic"/>
          <w:szCs w:val="24"/>
        </w:rPr>
        <w:t xml:space="preserve"> Activités directement liées à la réduction des émissions de gaz à effet de serre</w:t>
      </w:r>
      <w:bookmarkEnd w:id="24"/>
      <w:r>
        <w:rPr>
          <w:rFonts w:ascii="Century Gothic" w:hAnsi="Century Gothic"/>
          <w:szCs w:val="24"/>
        </w:rPr>
        <w:t xml:space="preserve"> </w:t>
      </w:r>
    </w:p>
    <w:p>
      <w:pPr>
        <w:pStyle w:val="style0"/>
        <w:widowControl w:val="false"/>
        <w:tabs>
          <w:tab w:val="left" w:leader="none" w:pos="9214"/>
          <w:tab w:val="left" w:leader="none" w:pos="9639"/>
        </w:tabs>
        <w:autoSpaceDE w:val="false"/>
        <w:autoSpaceDN w:val="false"/>
        <w:adjustRightInd w:val="false"/>
        <w:rPr>
          <w:rFonts w:ascii="Century Gothic" w:hAnsi="Century Gothic"/>
        </w:rPr>
      </w:pPr>
    </w:p>
    <w:p>
      <w:pPr>
        <w:pStyle w:val="style0"/>
        <w:jc w:val="both"/>
        <w:rPr>
          <w:rFonts w:ascii="Century Gothic" w:hAnsi="Century Gothic"/>
        </w:rPr>
      </w:pPr>
      <w:r>
        <w:rPr>
          <w:rFonts w:ascii="Century Gothic" w:hAnsi="Century Gothic"/>
        </w:rPr>
        <w:t>Selon le guide</w:t>
      </w:r>
      <w:r>
        <w:rPr>
          <w:rStyle w:val="style38"/>
          <w:rFonts w:ascii="Century Gothic" w:hAnsi="Century Gothic"/>
        </w:rPr>
        <w:footnoteReference w:id="4"/>
      </w:r>
      <w:r>
        <w:rPr>
          <w:rFonts w:ascii="Century Gothic" w:hAnsi="Century Gothic"/>
        </w:rPr>
        <w:t xml:space="preserve"> méthodologique pour la création et la gestion des espaces de conservation par les collectivités territoriales, les espaces de conservation sont des zones de protection des ressources naturelles. Ils prennent notamment en compte les aires de protection de la flore et de la faune. Les espaces de conservation de la commune rurale de </w:t>
      </w:r>
      <w:r>
        <w:rPr>
          <w:rFonts w:ascii="Century Gothic" w:hAnsi="Century Gothic"/>
        </w:rPr>
        <w:t>Tiébélé</w:t>
      </w:r>
      <w:r>
        <w:rPr>
          <w:rFonts w:ascii="Century Gothic" w:hAnsi="Century Gothic"/>
        </w:rPr>
        <w:t xml:space="preserve"> joueront les deux fonctions essentielles que sont : (i) les fonctions socio-économiques à travers la génération de revenus pour différents acteurs, la contribution à la sécurité alimentaire, en produits de pharmacopée et autres produits forestiers non ligneux d’une part et (ii) des fonctions écologiques, culturelles et touristiques telles que la préservation de la biodiversité, la régulation du cycle du carbone, la lutte contre l’érosion, le maintien de la fertilité des sols, la protection des cours et plans d’eau contre l’envasement, l’atténuation des effets nocifs du climat, l’amélioration du cadre de vie, les lieux de culte (bois sacrés), la promotion de l’écotourisme et l’éducation environnementale, etc. d’autre part. La création des espaces de conservation ne doit pas être considérée comme un simple exercice de délimitation et d’immatriculation de zones, mais plutôt comme le résultat d’un exercice participatif et itératif de planification du développement à moyen et long termes.</w:t>
      </w:r>
    </w:p>
    <w:p>
      <w:pPr>
        <w:pStyle w:val="style0"/>
        <w:rPr>
          <w:rFonts w:ascii="Century Gothic" w:hAnsi="Century Gothic"/>
        </w:rPr>
      </w:pPr>
    </w:p>
    <w:p>
      <w:pPr>
        <w:pStyle w:val="style0"/>
        <w:jc w:val="both"/>
        <w:rPr>
          <w:rFonts w:ascii="Century Gothic" w:hAnsi="Century Gothic"/>
          <w:b/>
          <w:i/>
        </w:rPr>
      </w:pPr>
      <w:r>
        <w:rPr>
          <w:rFonts w:ascii="Century Gothic" w:hAnsi="Century Gothic"/>
          <w:b/>
          <w:i/>
          <w:u w:val="single"/>
        </w:rPr>
        <w:t>Activité 4.</w:t>
      </w:r>
      <w:r>
        <w:rPr>
          <w:rFonts w:ascii="Century Gothic" w:hAnsi="Century Gothic"/>
          <w:b/>
          <w:i/>
          <w:u w:val="single"/>
        </w:rPr>
        <w:t>1.2.1.1.</w:t>
      </w:r>
      <w:r>
        <w:rPr>
          <w:rFonts w:ascii="Century Gothic" w:hAnsi="Century Gothic"/>
          <w:b/>
          <w:i/>
          <w:u w:val="single"/>
        </w:rPr>
        <w:t xml:space="preserve"> </w:t>
      </w:r>
      <w:r>
        <w:rPr>
          <w:rFonts w:ascii="Century Gothic" w:hAnsi="Century Gothic"/>
          <w:b/>
          <w:i/>
          <w:u w:val="single"/>
        </w:rPr>
        <w:t>Aménager et gérer durablement la forêt villageoise</w:t>
      </w:r>
      <w:r>
        <w:rPr>
          <w:rFonts w:ascii="Century Gothic" w:hAnsi="Century Gothic"/>
          <w:b/>
          <w:i/>
          <w:u w:val="single"/>
        </w:rPr>
        <w:t xml:space="preserve"> de </w:t>
      </w:r>
      <w:r>
        <w:rPr>
          <w:rFonts w:ascii="Century Gothic" w:hAnsi="Century Gothic"/>
          <w:b/>
          <w:i/>
          <w:u w:val="single"/>
        </w:rPr>
        <w:t>Kaya</w:t>
      </w:r>
      <w:r>
        <w:rPr>
          <w:rFonts w:ascii="Century Gothic" w:hAnsi="Century Gothic"/>
          <w:b/>
          <w:i/>
          <w:u w:val="single"/>
        </w:rPr>
        <w:t> (</w:t>
      </w:r>
      <w:r>
        <w:rPr>
          <w:rFonts w:ascii="Century Gothic" w:hAnsi="Century Gothic"/>
          <w:b/>
          <w:i/>
          <w:u w:val="single"/>
        </w:rPr>
        <w:t>475 ha environ</w:t>
      </w:r>
      <w:r>
        <w:rPr>
          <w:rFonts w:ascii="Century Gothic" w:hAnsi="Century Gothic"/>
          <w:b/>
          <w:i/>
          <w:u w:val="single"/>
        </w:rPr>
        <w:t>)</w:t>
      </w:r>
    </w:p>
    <w:p>
      <w:pPr>
        <w:pStyle w:val="style0"/>
        <w:jc w:val="both"/>
        <w:rPr>
          <w:rFonts w:ascii="Century Gothic" w:hAnsi="Century Gothic"/>
        </w:rPr>
      </w:pPr>
    </w:p>
    <w:p>
      <w:pPr>
        <w:pStyle w:val="style0"/>
        <w:jc w:val="both"/>
        <w:rPr>
          <w:rFonts w:ascii="Century Gothic" w:hAnsi="Century Gothic"/>
        </w:rPr>
      </w:pPr>
      <w:r>
        <w:rPr>
          <w:rFonts w:ascii="Century Gothic" w:cs="Arial" w:hAnsi="Century Gothic"/>
          <w:b/>
        </w:rPr>
        <w:t>L’objectif</w:t>
      </w:r>
      <w:r>
        <w:rPr>
          <w:rFonts w:ascii="Century Gothic" w:cs="Arial" w:hAnsi="Century Gothic"/>
        </w:rPr>
        <w:t xml:space="preserve"> de l’activité est de planifier dans le temps et dans l’espace les </w:t>
      </w:r>
      <w:r>
        <w:rPr>
          <w:rFonts w:ascii="Century Gothic" w:cs="Arial" w:hAnsi="Century Gothic"/>
        </w:rPr>
        <w:t>sous activités</w:t>
      </w:r>
      <w:r>
        <w:rPr>
          <w:rFonts w:ascii="Century Gothic" w:cs="Arial" w:hAnsi="Century Gothic"/>
        </w:rPr>
        <w:t xml:space="preserve"> à mener pour la préservation </w:t>
      </w:r>
      <w:r>
        <w:rPr>
          <w:rFonts w:ascii="Century Gothic" w:cs="Arial" w:hAnsi="Century Gothic"/>
        </w:rPr>
        <w:t xml:space="preserve">(délimitation, bornage, charte foncière, </w:t>
      </w:r>
      <w:r>
        <w:rPr>
          <w:rFonts w:ascii="Century Gothic" w:cs="Arial" w:hAnsi="Century Gothic"/>
        </w:rPr>
        <w:t>comité de gestion</w:t>
      </w:r>
      <w:r>
        <w:rPr>
          <w:rFonts w:ascii="Century Gothic" w:cs="Arial" w:hAnsi="Century Gothic"/>
        </w:rPr>
        <w:t xml:space="preserve">, etc.) </w:t>
      </w:r>
      <w:r>
        <w:rPr>
          <w:rFonts w:ascii="Century Gothic" w:cs="Arial" w:hAnsi="Century Gothic"/>
        </w:rPr>
        <w:t xml:space="preserve">et la valorisation des ressources de l’espace de conservation communal de </w:t>
      </w:r>
      <w:r>
        <w:rPr>
          <w:rFonts w:ascii="Century Gothic" w:cs="Arial" w:hAnsi="Century Gothic"/>
        </w:rPr>
        <w:t>Kaya</w:t>
      </w:r>
      <w:r>
        <w:rPr>
          <w:rFonts w:ascii="Century Gothic" w:cs="Arial" w:hAnsi="Century Gothic"/>
        </w:rPr>
        <w:t xml:space="preserve">. </w:t>
      </w:r>
      <w:r>
        <w:rPr>
          <w:rFonts w:ascii="Century Gothic" w:cs="Arial" w:hAnsi="Century Gothic"/>
          <w:b/>
        </w:rPr>
        <w:t>Les</w:t>
      </w:r>
      <w:r>
        <w:rPr>
          <w:rFonts w:ascii="Century Gothic" w:cs="Arial" w:hAnsi="Century Gothic"/>
        </w:rPr>
        <w:t xml:space="preserve"> </w:t>
      </w:r>
      <w:r>
        <w:rPr>
          <w:rFonts w:ascii="Century Gothic" w:cs="Arial" w:hAnsi="Century Gothic"/>
          <w:b/>
        </w:rPr>
        <w:t>moyens humains</w:t>
      </w:r>
      <w:r>
        <w:rPr>
          <w:rFonts w:ascii="Century Gothic" w:cs="Arial" w:hAnsi="Century Gothic"/>
        </w:rPr>
        <w:t xml:space="preserve"> nécessaires seront surtout de l’expertise en aménagement de ressources naturelles pour les formations, la réalisation des prescriptions, environnementales, etc. </w:t>
      </w:r>
      <w:r>
        <w:rPr>
          <w:rFonts w:ascii="Century Gothic" w:cs="Arial" w:hAnsi="Century Gothic"/>
          <w:b/>
        </w:rPr>
        <w:t>Les moyens techniques</w:t>
      </w:r>
      <w:r>
        <w:rPr>
          <w:rFonts w:ascii="Century Gothic" w:cs="Arial" w:hAnsi="Century Gothic"/>
        </w:rPr>
        <w:t xml:space="preserve"> seront constitués de technologie pour les activités d’aménagement (cartographie, inventaire des ressources etc.). </w:t>
      </w:r>
      <w:r>
        <w:rPr>
          <w:rFonts w:ascii="Century Gothic" w:cs="Arial" w:hAnsi="Century Gothic"/>
          <w:b/>
        </w:rPr>
        <w:t>Les moyens matériels</w:t>
      </w:r>
      <w:r>
        <w:rPr>
          <w:rFonts w:ascii="Century Gothic" w:cs="Arial" w:hAnsi="Century Gothic"/>
        </w:rPr>
        <w:t xml:space="preserve"> seront constitués de bornes, de plants pour la délimitation et l’enrichissement, etc.</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constitués de frais </w:t>
      </w:r>
      <w:r>
        <w:rPr>
          <w:rFonts w:ascii="Century Gothic" w:hAnsi="Century Gothic"/>
        </w:rPr>
        <w:t>relatifs aux différentes sous activités</w:t>
      </w:r>
      <w:r>
        <w:rPr>
          <w:rFonts w:ascii="Century Gothic" w:hAnsi="Century Gothic"/>
        </w:rPr>
        <w:t xml:space="preserve">. Ces ressources seront financées par le budget du PDIC/REDD+ de </w:t>
      </w:r>
      <w:r>
        <w:rPr>
          <w:rFonts w:ascii="Century Gothic" w:hAnsi="Century Gothic"/>
        </w:rPr>
        <w:t>Tiébélé</w:t>
      </w:r>
      <w:r>
        <w:rPr>
          <w:rFonts w:ascii="Century Gothic" w:hAnsi="Century Gothic"/>
        </w:rPr>
        <w:t>. L’organisation et la gestion de l’activité sera faite par le maire qui assure le rôle d</w:t>
      </w:r>
      <w:r>
        <w:rPr>
          <w:rFonts w:ascii="Century Gothic" w:hAnsi="Century Gothic"/>
        </w:rPr>
        <w:t>e coordination de l’activité, en collaboration avec le CVD et les services techniques du développement rural.</w:t>
      </w:r>
      <w:r>
        <w:rPr>
          <w:rFonts w:ascii="Century Gothic" w:hAnsi="Century Gothic"/>
        </w:rPr>
        <w:t xml:space="preserve"> </w:t>
      </w:r>
    </w:p>
    <w:p>
      <w:pPr>
        <w:pStyle w:val="style0"/>
        <w:jc w:val="both"/>
        <w:rPr>
          <w:rFonts w:ascii="Century Gothic" w:hAnsi="Century Gothic"/>
          <w:i/>
          <w:u w:val="single"/>
        </w:rPr>
      </w:pPr>
    </w:p>
    <w:p>
      <w:pPr>
        <w:pStyle w:val="style0"/>
        <w:jc w:val="both"/>
        <w:rPr>
          <w:rFonts w:ascii="Century Gothic" w:hAnsi="Century Gothic"/>
          <w:i/>
          <w:spacing w:val="-1"/>
          <w:u w:val="single"/>
        </w:rPr>
      </w:pPr>
      <w:r>
        <w:rPr>
          <w:rFonts w:ascii="Century Gothic" w:hAnsi="Century Gothic"/>
          <w:i/>
          <w:u w:val="single"/>
        </w:rPr>
        <w:t xml:space="preserve">Sous-Activité 4.1.2.1.1.1. </w:t>
      </w:r>
      <w:r>
        <w:rPr>
          <w:rFonts w:ascii="Century Gothic" w:hAnsi="Century Gothic"/>
          <w:i/>
          <w:u w:val="single"/>
        </w:rPr>
        <w:t>Appuyer la production des plants</w:t>
      </w:r>
      <w:r>
        <w:rPr>
          <w:rFonts w:ascii="Century Gothic" w:hAnsi="Century Gothic"/>
          <w:i/>
          <w:spacing w:val="-2"/>
          <w:u w:val="single"/>
        </w:rPr>
        <w:t xml:space="preserve"> </w:t>
      </w:r>
      <w:r>
        <w:rPr>
          <w:rFonts w:ascii="Century Gothic" w:hAnsi="Century Gothic"/>
          <w:i/>
          <w:spacing w:val="2"/>
          <w:u w:val="single"/>
        </w:rPr>
        <w:t>d</w:t>
      </w:r>
      <w:r>
        <w:rPr>
          <w:rFonts w:ascii="Century Gothic" w:hAnsi="Century Gothic"/>
          <w:i/>
          <w:spacing w:val="-1"/>
          <w:u w:val="single"/>
        </w:rPr>
        <w:t>a</w:t>
      </w:r>
      <w:r>
        <w:rPr>
          <w:rFonts w:ascii="Century Gothic" w:hAnsi="Century Gothic"/>
          <w:i/>
          <w:u w:val="single"/>
        </w:rPr>
        <w:t xml:space="preserve">ns l’espace </w:t>
      </w:r>
      <w:r>
        <w:rPr>
          <w:rFonts w:ascii="Century Gothic" w:hAnsi="Century Gothic"/>
          <w:i/>
          <w:spacing w:val="-1"/>
          <w:u w:val="single"/>
        </w:rPr>
        <w:t xml:space="preserve">de conservation de </w:t>
      </w:r>
      <w:r>
        <w:rPr>
          <w:rFonts w:ascii="Century Gothic" w:hAnsi="Century Gothic"/>
          <w:i/>
          <w:spacing w:val="-1"/>
          <w:u w:val="single"/>
        </w:rPr>
        <w:t>Kaya</w:t>
      </w:r>
      <w:r>
        <w:rPr>
          <w:rFonts w:ascii="Century Gothic" w:hAnsi="Century Gothic"/>
          <w:i/>
          <w:spacing w:val="-1"/>
          <w:u w:val="single"/>
        </w:rPr>
        <w:t> </w:t>
      </w:r>
    </w:p>
    <w:p>
      <w:pPr>
        <w:pStyle w:val="style0"/>
        <w:jc w:val="both"/>
        <w:rPr>
          <w:rFonts w:ascii="Century Gothic" w:hAnsi="Century Gothic"/>
          <w:i/>
          <w:spacing w:val="-1"/>
          <w:u w:val="single"/>
        </w:rPr>
      </w:pPr>
    </w:p>
    <w:p>
      <w:pPr>
        <w:pStyle w:val="style0"/>
        <w:jc w:val="both"/>
        <w:rPr>
          <w:rFonts w:ascii="Century Gothic" w:hAnsi="Century Gothic"/>
        </w:rPr>
      </w:pPr>
      <w:r>
        <w:rPr>
          <w:rFonts w:ascii="Century Gothic" w:hAnsi="Century Gothic"/>
          <w:b/>
          <w:bCs/>
        </w:rPr>
        <w:t>L’objectif de l’activité</w:t>
      </w:r>
      <w:r>
        <w:rPr>
          <w:rFonts w:ascii="Century Gothic" w:hAnsi="Century Gothic"/>
          <w:bCs/>
        </w:rPr>
        <w:t xml:space="preserve"> est d’une part de satisfaire les besoins en plants de qualité et en quantité </w:t>
      </w:r>
      <w:r>
        <w:rPr>
          <w:rFonts w:ascii="Century Gothic" w:hAnsi="Century Gothic"/>
          <w:bCs/>
        </w:rPr>
        <w:t xml:space="preserve">au profit </w:t>
      </w:r>
      <w:r>
        <w:rPr>
          <w:rFonts w:ascii="Century Gothic" w:hAnsi="Century Gothic"/>
          <w:bCs/>
        </w:rPr>
        <w:t xml:space="preserve">des populations et </w:t>
      </w:r>
      <w:r>
        <w:rPr>
          <w:rFonts w:ascii="Century Gothic" w:hAnsi="Century Gothic"/>
          <w:bCs/>
        </w:rPr>
        <w:t xml:space="preserve">pour l’amélioration du couvert forestier de </w:t>
      </w:r>
      <w:r>
        <w:rPr>
          <w:rFonts w:ascii="Century Gothic" w:hAnsi="Century Gothic"/>
          <w:bCs/>
        </w:rPr>
        <w:t xml:space="preserve">l’espace de conservation et d’autre part de développer d’autres initiatives de production à l’intérieur du site de la pépinière. </w:t>
      </w:r>
      <w:r>
        <w:rPr>
          <w:rFonts w:ascii="Century Gothic" w:hAnsi="Century Gothic"/>
          <w:b/>
          <w:bCs/>
        </w:rPr>
        <w:t>La méthode</w:t>
      </w:r>
      <w:r>
        <w:rPr>
          <w:rFonts w:ascii="Century Gothic" w:hAnsi="Century Gothic"/>
          <w:b/>
          <w:bCs/>
          <w:i/>
        </w:rPr>
        <w:t xml:space="preserve"> </w:t>
      </w:r>
      <w:r>
        <w:rPr>
          <w:rFonts w:ascii="Century Gothic" w:hAnsi="Century Gothic"/>
          <w:bCs/>
        </w:rPr>
        <w:t xml:space="preserve">va se reposer sur la sélection des pépiniéristes, </w:t>
      </w:r>
      <w:r>
        <w:rPr>
          <w:rFonts w:ascii="Century Gothic" w:hAnsi="Century Gothic"/>
          <w:bCs/>
        </w:rPr>
        <w:t>l’implantation de la pépinière</w:t>
      </w:r>
      <w:r>
        <w:rPr>
          <w:rFonts w:ascii="Century Gothic" w:hAnsi="Century Gothic"/>
          <w:bCs/>
        </w:rPr>
        <w:t>, le suivi des productions</w:t>
      </w:r>
      <w:r>
        <w:rPr>
          <w:rFonts w:ascii="Century Gothic" w:hAnsi="Century Gothic"/>
          <w:bCs/>
        </w:rPr>
        <w:t xml:space="preserve">. </w:t>
      </w:r>
      <w:r>
        <w:rPr>
          <w:rFonts w:ascii="Century Gothic" w:hAnsi="Century Gothic"/>
          <w:b/>
          <w:bCs/>
        </w:rPr>
        <w:t>Les résultats attendus</w:t>
      </w:r>
      <w:r>
        <w:rPr>
          <w:rFonts w:ascii="Century Gothic" w:hAnsi="Century Gothic"/>
          <w:bCs/>
        </w:rPr>
        <w:t xml:space="preserve"> est qu’une pépinière est opérationnelle dans le village de </w:t>
      </w:r>
      <w:r>
        <w:rPr>
          <w:rFonts w:ascii="Century Gothic" w:hAnsi="Century Gothic"/>
          <w:bCs/>
        </w:rPr>
        <w:t>Kaya</w:t>
      </w:r>
      <w:r>
        <w:rPr>
          <w:rFonts w:ascii="Century Gothic" w:hAnsi="Century Gothic"/>
          <w:bCs/>
        </w:rPr>
        <w:t xml:space="preserve">. </w:t>
      </w:r>
      <w:r>
        <w:rPr>
          <w:rFonts w:ascii="Century Gothic" w:hAnsi="Century Gothic"/>
          <w:b/>
        </w:rPr>
        <w:t>L</w:t>
      </w:r>
      <w:r>
        <w:rPr>
          <w:rFonts w:ascii="Century Gothic" w:hAnsi="Century Gothic"/>
          <w:b/>
        </w:rPr>
        <w:t>es moyens humains</w:t>
      </w:r>
      <w:r>
        <w:rPr>
          <w:rFonts w:ascii="Century Gothic" w:hAnsi="Century Gothic"/>
        </w:rPr>
        <w:t xml:space="preserve"> sont constitués de l’expertise technique d</w:t>
      </w:r>
      <w:r>
        <w:rPr>
          <w:rFonts w:ascii="Century Gothic" w:hAnsi="Century Gothic"/>
        </w:rPr>
        <w:t>es</w:t>
      </w:r>
      <w:r>
        <w:rPr>
          <w:rFonts w:ascii="Century Gothic" w:hAnsi="Century Gothic"/>
        </w:rPr>
        <w:t xml:space="preserve"> service</w:t>
      </w:r>
      <w:r>
        <w:rPr>
          <w:rFonts w:ascii="Century Gothic" w:hAnsi="Century Gothic"/>
        </w:rPr>
        <w:t>s</w:t>
      </w:r>
      <w:r>
        <w:rPr>
          <w:rFonts w:ascii="Century Gothic" w:hAnsi="Century Gothic"/>
        </w:rPr>
        <w:t xml:space="preserve"> de l’environnement. </w:t>
      </w:r>
      <w:r>
        <w:rPr>
          <w:rFonts w:ascii="Century Gothic" w:hAnsi="Century Gothic"/>
          <w:b/>
        </w:rPr>
        <w:t>Les moyens financiers</w:t>
      </w:r>
      <w:r>
        <w:rPr>
          <w:rFonts w:ascii="Century Gothic" w:hAnsi="Century Gothic"/>
        </w:rPr>
        <w:t xml:space="preserve"> seront constitués de frais de prise </w:t>
      </w:r>
      <w:r>
        <w:rPr>
          <w:rFonts w:ascii="Century Gothic" w:hAnsi="Century Gothic"/>
        </w:rPr>
        <w:t xml:space="preserve">en charge </w:t>
      </w:r>
      <w:r>
        <w:rPr>
          <w:rFonts w:ascii="Century Gothic" w:hAnsi="Century Gothic"/>
        </w:rPr>
        <w:t>du formateur et des participants et de l’acquisition du matériel de pépinière. Ces ressources sero</w:t>
      </w:r>
      <w:r>
        <w:rPr>
          <w:rFonts w:ascii="Century Gothic" w:hAnsi="Century Gothic"/>
        </w:rPr>
        <w:t xml:space="preserve">nt financées par le budget du </w:t>
      </w:r>
      <w:r>
        <w:rPr>
          <w:rFonts w:ascii="Century Gothic" w:hAnsi="Century Gothic"/>
        </w:rPr>
        <w:t xml:space="preserve">PDIC/REDD+ de </w:t>
      </w:r>
      <w:r>
        <w:rPr>
          <w:rFonts w:ascii="Century Gothic" w:hAnsi="Century Gothic"/>
        </w:rPr>
        <w:t>Tiébélé</w:t>
      </w:r>
      <w:r>
        <w:rPr>
          <w:rFonts w:ascii="Century Gothic" w:hAnsi="Century Gothic"/>
        </w:rPr>
        <w:t xml:space="preserve">. </w:t>
      </w:r>
      <w:r>
        <w:rPr>
          <w:rFonts w:ascii="Century Gothic" w:hAnsi="Century Gothic"/>
        </w:rPr>
        <w:t xml:space="preserve">L’organisation et la gestion de l’activité </w:t>
      </w:r>
      <w:r>
        <w:rPr>
          <w:rFonts w:ascii="Century Gothic" w:hAnsi="Century Gothic"/>
        </w:rPr>
        <w:t xml:space="preserve">seront </w:t>
      </w:r>
      <w:r>
        <w:rPr>
          <w:rFonts w:ascii="Century Gothic" w:hAnsi="Century Gothic"/>
        </w:rPr>
        <w:t>faite</w:t>
      </w:r>
      <w:r>
        <w:rPr>
          <w:rFonts w:ascii="Century Gothic" w:hAnsi="Century Gothic"/>
        </w:rPr>
        <w:t>s</w:t>
      </w:r>
      <w:r>
        <w:rPr>
          <w:rFonts w:ascii="Century Gothic" w:hAnsi="Century Gothic"/>
        </w:rPr>
        <w:t xml:space="preserve"> par le maire qui assure le rôle de coordination de l’activité</w:t>
      </w:r>
      <w:r>
        <w:rPr>
          <w:rFonts w:ascii="Century Gothic" w:hAnsi="Century Gothic"/>
        </w:rPr>
        <w:t xml:space="preserve"> en collaboration avec le CVD </w:t>
      </w:r>
      <w:r>
        <w:rPr>
          <w:rFonts w:ascii="Century Gothic" w:hAnsi="Century Gothic"/>
        </w:rPr>
        <w:t xml:space="preserve">et le service technique de l’environnement </w:t>
      </w:r>
      <w:r>
        <w:rPr>
          <w:rFonts w:ascii="Century Gothic" w:hAnsi="Century Gothic"/>
        </w:rPr>
        <w:t xml:space="preserve">de </w:t>
      </w:r>
      <w:r>
        <w:rPr>
          <w:rFonts w:ascii="Century Gothic" w:hAnsi="Century Gothic"/>
        </w:rPr>
        <w:t>Tiébélé</w:t>
      </w:r>
      <w:r>
        <w:rPr>
          <w:rFonts w:ascii="Century Gothic" w:hAnsi="Century Gothic"/>
        </w:rPr>
        <w:t xml:space="preserve">. </w:t>
      </w:r>
    </w:p>
    <w:p>
      <w:pPr>
        <w:pStyle w:val="style0"/>
        <w:widowControl w:val="false"/>
        <w:tabs>
          <w:tab w:val="left" w:leader="none" w:pos="9214"/>
          <w:tab w:val="left" w:leader="none" w:pos="9639"/>
        </w:tabs>
        <w:autoSpaceDE w:val="false"/>
        <w:autoSpaceDN w:val="false"/>
        <w:adjustRightInd w:val="false"/>
        <w:rPr>
          <w:rFonts w:ascii="Century Gothic" w:hAnsi="Century Gothic"/>
        </w:rPr>
      </w:pPr>
    </w:p>
    <w:p>
      <w:pPr>
        <w:pStyle w:val="style0"/>
        <w:tabs>
          <w:tab w:val="left" w:leader="none" w:pos="9214"/>
          <w:tab w:val="left" w:leader="none" w:pos="9639"/>
        </w:tabs>
        <w:jc w:val="both"/>
        <w:rPr>
          <w:rFonts w:ascii="Century Gothic" w:hAnsi="Century Gothic"/>
          <w:b/>
          <w:i/>
        </w:rPr>
      </w:pPr>
      <w:r>
        <w:rPr>
          <w:rFonts w:ascii="Century Gothic" w:hAnsi="Century Gothic"/>
          <w:i/>
          <w:u w:val="single"/>
        </w:rPr>
        <w:t>Sous-Activité 4.1.2.1.1.2</w:t>
      </w:r>
      <w:r>
        <w:rPr>
          <w:rFonts w:ascii="Century Gothic" w:hAnsi="Century Gothic"/>
          <w:i/>
          <w:u w:val="single"/>
        </w:rPr>
        <w:t>. Réalis</w:t>
      </w:r>
      <w:r>
        <w:rPr>
          <w:rFonts w:ascii="Century Gothic" w:hAnsi="Century Gothic"/>
          <w:i/>
          <w:u w:val="single"/>
        </w:rPr>
        <w:t>er</w:t>
      </w:r>
      <w:r>
        <w:rPr>
          <w:rFonts w:ascii="Century Gothic" w:hAnsi="Century Gothic"/>
          <w:i/>
          <w:u w:val="single"/>
        </w:rPr>
        <w:t xml:space="preserve"> des plantations d’enrichissement/délimitation</w:t>
      </w:r>
      <w:r>
        <w:rPr>
          <w:rFonts w:ascii="Century Gothic" w:hAnsi="Century Gothic"/>
          <w:i/>
          <w:u w:val="single"/>
        </w:rPr>
        <w:t xml:space="preserve"> de la forêt de </w:t>
      </w:r>
      <w:r>
        <w:rPr>
          <w:rFonts w:ascii="Century Gothic" w:hAnsi="Century Gothic"/>
          <w:i/>
          <w:u w:val="single"/>
        </w:rPr>
        <w:t>Kaya</w:t>
      </w:r>
    </w:p>
    <w:p>
      <w:pPr>
        <w:pStyle w:val="style0"/>
        <w:tabs>
          <w:tab w:val="left" w:leader="none" w:pos="9214"/>
          <w:tab w:val="left" w:leader="none" w:pos="9639"/>
        </w:tabs>
        <w:jc w:val="both"/>
        <w:rPr>
          <w:rFonts w:ascii="Century Gothic" w:hAnsi="Century Gothic"/>
          <w:b/>
          <w:i/>
        </w:rPr>
      </w:pPr>
    </w:p>
    <w:p>
      <w:pPr>
        <w:pStyle w:val="style0"/>
        <w:tabs>
          <w:tab w:val="left" w:leader="none" w:pos="9214"/>
          <w:tab w:val="left" w:leader="none" w:pos="9639"/>
        </w:tabs>
        <w:jc w:val="both"/>
        <w:rPr>
          <w:rFonts w:ascii="Century Gothic" w:hAnsi="Century Gothic"/>
        </w:rPr>
      </w:pPr>
      <w:r>
        <w:rPr>
          <w:rFonts w:ascii="Century Gothic" w:hAnsi="Century Gothic"/>
          <w:b/>
        </w:rPr>
        <w:t>L’o</w:t>
      </w:r>
      <w:r>
        <w:rPr>
          <w:rFonts w:ascii="Century Gothic" w:hAnsi="Century Gothic"/>
          <w:b/>
        </w:rPr>
        <w:t>bjectif</w:t>
      </w:r>
      <w:r>
        <w:rPr>
          <w:rFonts w:ascii="Century Gothic" w:hAnsi="Century Gothic"/>
          <w:b/>
          <w:i/>
        </w:rPr>
        <w:t> </w:t>
      </w:r>
      <w:r>
        <w:rPr>
          <w:rFonts w:ascii="Century Gothic" w:hAnsi="Century Gothic"/>
        </w:rPr>
        <w:t>est d’a</w:t>
      </w:r>
      <w:r>
        <w:rPr>
          <w:rFonts w:ascii="Century Gothic" w:hAnsi="Century Gothic"/>
        </w:rPr>
        <w:t xml:space="preserve">ccroitre la capacité de séquestration de carbone de la forêt villageoise de </w:t>
      </w:r>
      <w:r>
        <w:rPr>
          <w:rFonts w:ascii="Century Gothic" w:hAnsi="Century Gothic"/>
        </w:rPr>
        <w:t>Kaya</w:t>
      </w:r>
      <w:r>
        <w:rPr>
          <w:rFonts w:ascii="Century Gothic" w:hAnsi="Century Gothic"/>
        </w:rPr>
        <w:t xml:space="preserve"> d’une superficie de </w:t>
      </w:r>
      <w:r>
        <w:rPr>
          <w:rFonts w:ascii="Century Gothic" w:hAnsi="Century Gothic"/>
        </w:rPr>
        <w:t>475</w:t>
      </w:r>
      <w:r>
        <w:rPr>
          <w:rFonts w:ascii="Century Gothic" w:hAnsi="Century Gothic"/>
        </w:rPr>
        <w:t xml:space="preserve"> Hectares</w:t>
      </w:r>
      <w:r>
        <w:rPr>
          <w:rFonts w:ascii="Century Gothic" w:hAnsi="Century Gothic"/>
        </w:rPr>
        <w:t xml:space="preserve"> environ</w:t>
      </w:r>
      <w:r>
        <w:rPr>
          <w:rFonts w:ascii="Century Gothic" w:hAnsi="Century Gothic"/>
        </w:rPr>
        <w:t xml:space="preserve">. </w:t>
      </w:r>
      <w:r>
        <w:rPr>
          <w:rFonts w:ascii="Century Gothic" w:hAnsi="Century Gothic"/>
          <w:b/>
        </w:rPr>
        <w:t>La méthode</w:t>
      </w:r>
      <w:r>
        <w:rPr>
          <w:rFonts w:ascii="Century Gothic" w:hAnsi="Century Gothic"/>
        </w:rPr>
        <w:t xml:space="preserve"> : </w:t>
      </w:r>
      <w:r>
        <w:rPr>
          <w:rFonts w:ascii="Century Gothic" w:hAnsi="Century Gothic"/>
        </w:rPr>
        <w:t xml:space="preserve">Il s’agira des plantations de délimitation de 2 rangées sur une longueur totale de </w:t>
      </w:r>
      <w:r>
        <w:t>12,6</w:t>
      </w:r>
      <w:r>
        <w:rPr>
          <w:rFonts w:ascii="Century Gothic" w:hAnsi="Century Gothic"/>
        </w:rPr>
        <w:t xml:space="preserve"> </w:t>
      </w:r>
      <w:r>
        <w:rPr>
          <w:rFonts w:ascii="Century Gothic" w:hAnsi="Century Gothic"/>
        </w:rPr>
        <w:t>Km</w:t>
      </w:r>
      <w:r>
        <w:rPr>
          <w:rFonts w:ascii="Century Gothic" w:hAnsi="Century Gothic"/>
        </w:rPr>
        <w:t xml:space="preserve"> de périmètre (soit </w:t>
      </w:r>
      <w:r>
        <w:rPr>
          <w:rFonts w:ascii="Century Gothic" w:hAnsi="Century Gothic"/>
        </w:rPr>
        <w:t>63</w:t>
      </w:r>
      <w:r>
        <w:rPr>
          <w:rFonts w:ascii="Century Gothic" w:hAnsi="Century Gothic"/>
        </w:rPr>
        <w:t>00</w:t>
      </w:r>
      <w:r>
        <w:rPr>
          <w:rFonts w:ascii="Century Gothic" w:hAnsi="Century Gothic"/>
        </w:rPr>
        <w:t xml:space="preserve"> plants en raison d’un écartement de 4mètres/4) et d’enrichissement à l’intérieur de la forêt soit </w:t>
      </w:r>
      <w:r>
        <w:rPr>
          <w:rFonts w:ascii="Century Gothic" w:hAnsi="Century Gothic"/>
        </w:rPr>
        <w:t>5</w:t>
      </w:r>
      <w:r>
        <w:rPr>
          <w:rFonts w:ascii="Century Gothic" w:hAnsi="Century Gothic"/>
        </w:rPr>
        <w:t xml:space="preserve"> hectares (</w:t>
      </w:r>
      <w:r>
        <w:rPr>
          <w:rFonts w:ascii="Century Gothic" w:hAnsi="Century Gothic"/>
        </w:rPr>
        <w:t>3125</w:t>
      </w:r>
      <w:r>
        <w:rPr>
          <w:rFonts w:ascii="Century Gothic" w:hAnsi="Century Gothic"/>
        </w:rPr>
        <w:t xml:space="preserve"> plants). Ce qui donne un total de </w:t>
      </w:r>
      <w:r>
        <w:rPr>
          <w:rFonts w:ascii="Century Gothic" w:hAnsi="Century Gothic"/>
        </w:rPr>
        <w:t>9425</w:t>
      </w:r>
      <w:r>
        <w:rPr>
          <w:rFonts w:ascii="Century Gothic" w:hAnsi="Century Gothic"/>
        </w:rPr>
        <w:t xml:space="preserve"> Plants</w:t>
      </w:r>
      <w:r>
        <w:rPr>
          <w:rFonts w:ascii="Century Gothic" w:hAnsi="Century Gothic"/>
        </w:rPr>
        <w:t xml:space="preserve"> par an soit </w:t>
      </w:r>
      <w:r>
        <w:rPr>
          <w:rFonts w:ascii="Century Gothic" w:hAnsi="Century Gothic"/>
        </w:rPr>
        <w:t>28 275</w:t>
      </w:r>
      <w:r>
        <w:rPr>
          <w:rFonts w:ascii="Century Gothic" w:hAnsi="Century Gothic"/>
        </w:rPr>
        <w:t xml:space="preserve"> plants pour l</w:t>
      </w:r>
      <w:r>
        <w:rPr>
          <w:rFonts w:ascii="Century Gothic" w:hAnsi="Century Gothic"/>
        </w:rPr>
        <w:t xml:space="preserve">es trois premières années </w:t>
      </w:r>
      <w:r>
        <w:rPr>
          <w:rFonts w:ascii="Century Gothic" w:hAnsi="Century Gothic"/>
        </w:rPr>
        <w:t>du projet</w:t>
      </w:r>
      <w:r>
        <w:rPr>
          <w:rFonts w:ascii="Century Gothic" w:hAnsi="Century Gothic"/>
        </w:rPr>
        <w:t xml:space="preserve">. </w:t>
      </w:r>
      <w:r>
        <w:rPr>
          <w:rFonts w:ascii="Century Gothic" w:hAnsi="Century Gothic"/>
          <w:b/>
        </w:rPr>
        <w:t>Les moyens humains</w:t>
      </w:r>
      <w:r>
        <w:rPr>
          <w:rFonts w:ascii="Century Gothic" w:hAnsi="Century Gothic"/>
          <w:b/>
          <w:i/>
        </w:rPr>
        <w:t xml:space="preserve"> </w:t>
      </w:r>
      <w:r>
        <w:rPr>
          <w:rFonts w:ascii="Century Gothic" w:hAnsi="Century Gothic"/>
        </w:rPr>
        <w:t xml:space="preserve">sont constitués de l’expertise technique du service forestier et l’accompagnement des populations riveraines </w:t>
      </w:r>
      <w:r>
        <w:rPr>
          <w:rFonts w:ascii="Century Gothic" w:hAnsi="Century Gothic"/>
        </w:rPr>
        <w:t xml:space="preserve">(comité de gestion) </w:t>
      </w:r>
      <w:r>
        <w:rPr>
          <w:rFonts w:ascii="Century Gothic" w:hAnsi="Century Gothic"/>
        </w:rPr>
        <w:t xml:space="preserve">pour les trouaisons, la plantation et les entretiens. </w:t>
      </w:r>
      <w:r>
        <w:rPr>
          <w:rFonts w:ascii="Century Gothic" w:hAnsi="Century Gothic"/>
          <w:b/>
        </w:rPr>
        <w:t>Les moyens matériels</w:t>
      </w:r>
      <w:r>
        <w:rPr>
          <w:rFonts w:ascii="Century Gothic" w:hAnsi="Century Gothic"/>
        </w:rPr>
        <w:t xml:space="preserve"> seront constitués de plants, de pioches, pic à gaz et de pelles, de ruban</w:t>
      </w:r>
      <w:r>
        <w:rPr>
          <w:rFonts w:ascii="Century Gothic" w:hAnsi="Century Gothic"/>
        </w:rPr>
        <w:t xml:space="preserve"> métrique (</w:t>
      </w:r>
      <w:r>
        <w:rPr>
          <w:rFonts w:ascii="Century Gothic" w:hAnsi="Century Gothic"/>
        </w:rPr>
        <w:t>piquetage)</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de ressources financières pour l’acquisition des plants et du matériel, la prise en charge du service forestier</w:t>
      </w:r>
      <w:r>
        <w:rPr>
          <w:rFonts w:ascii="Century Gothic" w:hAnsi="Century Gothic"/>
        </w:rPr>
        <w:t xml:space="preserve">. </w:t>
      </w:r>
      <w:r>
        <w:rPr>
          <w:rFonts w:ascii="Century Gothic" w:hAnsi="Century Gothic"/>
        </w:rPr>
        <w:t xml:space="preserve">Ces ressources seront financées par le budget du </w:t>
      </w:r>
      <w:r>
        <w:rPr>
          <w:rFonts w:ascii="Century Gothic" w:hAnsi="Century Gothic"/>
        </w:rPr>
        <w:t>PDIC/REDD+ de Tiébélé</w:t>
      </w:r>
      <w:r>
        <w:rPr>
          <w:rFonts w:ascii="Century Gothic" w:hAnsi="Century Gothic"/>
        </w:rPr>
        <w:t>. Les trouaisons, plantations et entretien des plantations seront la contribution des populations</w:t>
      </w:r>
      <w:r>
        <w:rPr>
          <w:rFonts w:ascii="Century Gothic" w:hAnsi="Century Gothic"/>
        </w:rPr>
        <w:t xml:space="preserve">. L’organisation et la gestion de l’activité sera faite par la commune </w:t>
      </w:r>
      <w:r>
        <w:rPr>
          <w:rFonts w:ascii="Century Gothic" w:hAnsi="Century Gothic"/>
        </w:rPr>
        <w:t xml:space="preserve">à travers le maire </w:t>
      </w:r>
      <w:r>
        <w:rPr>
          <w:rFonts w:ascii="Century Gothic" w:hAnsi="Century Gothic"/>
        </w:rPr>
        <w:t>qui assure le rôle de coordinat</w:t>
      </w:r>
      <w:r>
        <w:rPr>
          <w:rFonts w:ascii="Century Gothic" w:hAnsi="Century Gothic"/>
        </w:rPr>
        <w:t>eur</w:t>
      </w:r>
      <w:r>
        <w:rPr>
          <w:rFonts w:ascii="Century Gothic" w:hAnsi="Century Gothic"/>
        </w:rPr>
        <w:t xml:space="preserve"> en collaboration avec, l’association Ga Mo Wigna, le service forestier et le</w:t>
      </w:r>
      <w:r>
        <w:rPr>
          <w:rFonts w:ascii="Century Gothic" w:hAnsi="Century Gothic"/>
        </w:rPr>
        <w:t xml:space="preserve"> comité de gestion</w:t>
      </w:r>
      <w:r>
        <w:rPr>
          <w:rFonts w:ascii="Century Gothic" w:hAnsi="Century Gothic"/>
        </w:rPr>
        <w:t xml:space="preserve">.  </w:t>
      </w:r>
    </w:p>
    <w:p>
      <w:pPr>
        <w:pStyle w:val="style0"/>
        <w:widowControl w:val="false"/>
        <w:tabs>
          <w:tab w:val="left" w:leader="none" w:pos="9214"/>
          <w:tab w:val="left" w:leader="none" w:pos="9639"/>
        </w:tabs>
        <w:autoSpaceDE w:val="false"/>
        <w:autoSpaceDN w:val="false"/>
        <w:adjustRightInd w:val="false"/>
        <w:rPr>
          <w:rFonts w:ascii="Century Gothic" w:hAnsi="Century Gothic"/>
        </w:rPr>
      </w:pPr>
      <w:r>
        <w:rPr>
          <w:rFonts w:ascii="Century Gothic" w:hAnsi="Century Gothic"/>
        </w:rPr>
        <w:t xml:space="preserve"> </w:t>
      </w:r>
    </w:p>
    <w:p>
      <w:pPr>
        <w:pStyle w:val="style0"/>
        <w:tabs>
          <w:tab w:val="left" w:leader="none" w:pos="9214"/>
          <w:tab w:val="left" w:leader="none" w:pos="9639"/>
        </w:tabs>
        <w:jc w:val="both"/>
        <w:rPr>
          <w:rFonts w:ascii="Century Gothic" w:hAnsi="Century Gothic"/>
          <w:i/>
          <w:spacing w:val="-1"/>
          <w:u w:val="single"/>
        </w:rPr>
      </w:pPr>
      <w:r>
        <w:rPr>
          <w:rFonts w:ascii="Century Gothic" w:hAnsi="Century Gothic"/>
          <w:i/>
          <w:u w:val="single"/>
        </w:rPr>
        <w:t xml:space="preserve">Sous-Activité 4.1.2.1.1.3. </w:t>
      </w:r>
      <w:r>
        <w:rPr>
          <w:rFonts w:ascii="Century Gothic" w:hAnsi="Century Gothic"/>
          <w:i/>
          <w:u w:val="single"/>
        </w:rPr>
        <w:t xml:space="preserve"> </w:t>
      </w:r>
      <w:r>
        <w:rPr>
          <w:rFonts w:ascii="Century Gothic" w:hAnsi="Century Gothic"/>
          <w:i/>
          <w:u w:val="single"/>
        </w:rPr>
        <w:t>Réalis</w:t>
      </w:r>
      <w:r>
        <w:rPr>
          <w:rFonts w:ascii="Century Gothic" w:hAnsi="Century Gothic"/>
          <w:i/>
          <w:u w:val="single"/>
        </w:rPr>
        <w:t>er</w:t>
      </w:r>
      <w:r>
        <w:rPr>
          <w:rFonts w:ascii="Century Gothic" w:hAnsi="Century Gothic"/>
          <w:i/>
          <w:u w:val="single"/>
        </w:rPr>
        <w:t xml:space="preserve"> de</w:t>
      </w:r>
      <w:r>
        <w:rPr>
          <w:rFonts w:ascii="Century Gothic" w:hAnsi="Century Gothic"/>
          <w:i/>
          <w:u w:val="single"/>
        </w:rPr>
        <w:t>s</w:t>
      </w:r>
      <w:r>
        <w:rPr>
          <w:rFonts w:ascii="Century Gothic" w:hAnsi="Century Gothic"/>
          <w:i/>
          <w:u w:val="single"/>
        </w:rPr>
        <w:t xml:space="preserve"> plantations individuelles dans les villages riverains d</w:t>
      </w:r>
      <w:r>
        <w:rPr>
          <w:rFonts w:ascii="Century Gothic" w:hAnsi="Century Gothic"/>
          <w:i/>
          <w:u w:val="single"/>
        </w:rPr>
        <w:t>ans l’espace</w:t>
      </w:r>
      <w:r>
        <w:rPr>
          <w:rFonts w:ascii="Century Gothic" w:hAnsi="Century Gothic"/>
          <w:i/>
          <w:u w:val="single"/>
        </w:rPr>
        <w:t xml:space="preserve"> de conservation de </w:t>
      </w:r>
      <w:r>
        <w:rPr>
          <w:rFonts w:ascii="Century Gothic" w:hAnsi="Century Gothic"/>
          <w:i/>
          <w:spacing w:val="-1"/>
          <w:u w:val="single"/>
        </w:rPr>
        <w:t>Kaya</w:t>
      </w:r>
      <w:r>
        <w:rPr>
          <w:rFonts w:ascii="Century Gothic" w:hAnsi="Century Gothic"/>
          <w:i/>
          <w:spacing w:val="-1"/>
          <w:u w:val="single"/>
        </w:rPr>
        <w:t xml:space="preserve"> (villages de Kaya Fabolo, Kaya Kafor et Kaya Navio)</w:t>
      </w:r>
    </w:p>
    <w:p>
      <w:pPr>
        <w:pStyle w:val="style0"/>
        <w:tabs>
          <w:tab w:val="left" w:leader="none" w:pos="9214"/>
          <w:tab w:val="left" w:leader="none" w:pos="9639"/>
        </w:tabs>
        <w:jc w:val="both"/>
        <w:rPr>
          <w:rFonts w:ascii="Century Gothic" w:hAnsi="Century Gothic"/>
          <w:i/>
          <w:spacing w:val="-1"/>
          <w:u w:val="single"/>
        </w:rPr>
      </w:pPr>
    </w:p>
    <w:p>
      <w:pPr>
        <w:pStyle w:val="style0"/>
        <w:tabs>
          <w:tab w:val="left" w:leader="none" w:pos="9214"/>
          <w:tab w:val="left" w:leader="none" w:pos="9639"/>
        </w:tabs>
        <w:jc w:val="both"/>
        <w:rPr>
          <w:rFonts w:ascii="Century Gothic" w:hAnsi="Century Gothic"/>
        </w:rPr>
      </w:pPr>
      <w:r>
        <w:rPr>
          <w:rFonts w:ascii="Century Gothic" w:hAnsi="Century Gothic"/>
          <w:b/>
          <w:bCs/>
        </w:rPr>
        <w:t>L’objectif de l’activité </w:t>
      </w:r>
      <w:r>
        <w:rPr>
          <w:rFonts w:ascii="Century Gothic" w:hAnsi="Century Gothic"/>
          <w:bCs/>
        </w:rPr>
        <w:t xml:space="preserve">est de renforcer le potentiel de séquestration des forêts et de satisfaire les besoins en fruits, légumes et bois des populations. </w:t>
      </w:r>
      <w:r>
        <w:rPr>
          <w:rFonts w:ascii="Century Gothic" w:hAnsi="Century Gothic"/>
          <w:b/>
        </w:rPr>
        <w:t>La m</w:t>
      </w:r>
      <w:r>
        <w:rPr>
          <w:rFonts w:ascii="Century Gothic" w:hAnsi="Century Gothic"/>
          <w:b/>
          <w:bCs/>
        </w:rPr>
        <w:t>éthode</w:t>
      </w:r>
      <w:r>
        <w:rPr>
          <w:rFonts w:ascii="Century Gothic" w:hAnsi="Century Gothic"/>
          <w:bCs/>
        </w:rPr>
        <w:t xml:space="preserve"> va</w:t>
      </w:r>
      <w:r>
        <w:rPr>
          <w:rFonts w:ascii="Century Gothic" w:hAnsi="Century Gothic"/>
          <w:bCs/>
        </w:rPr>
        <w:t xml:space="preserve"> reposer sur </w:t>
      </w:r>
      <w:r>
        <w:rPr>
          <w:rFonts w:ascii="Century Gothic" w:hAnsi="Century Gothic"/>
        </w:rPr>
        <w:t xml:space="preserve">l’appui en plants avec les espèces utilitaires aux producteurs et aux groupements pour la réalisation de plantations individuelles afin de renforcer les espaces agroforestiers. Pour chacun des </w:t>
      </w:r>
      <w:r>
        <w:rPr>
          <w:rFonts w:ascii="Century Gothic" w:hAnsi="Century Gothic"/>
        </w:rPr>
        <w:t>trois</w:t>
      </w:r>
      <w:r>
        <w:rPr>
          <w:rFonts w:ascii="Century Gothic" w:hAnsi="Century Gothic"/>
        </w:rPr>
        <w:t xml:space="preserve"> </w:t>
      </w:r>
      <w:r>
        <w:rPr>
          <w:rFonts w:ascii="Century Gothic" w:hAnsi="Century Gothic"/>
        </w:rPr>
        <w:t xml:space="preserve">villages de l’espace de conservation de </w:t>
      </w:r>
      <w:r>
        <w:rPr>
          <w:rFonts w:ascii="Century Gothic" w:hAnsi="Century Gothic"/>
        </w:rPr>
        <w:t>Kaya</w:t>
      </w:r>
      <w:r>
        <w:rPr>
          <w:rFonts w:ascii="Century Gothic" w:hAnsi="Century Gothic"/>
        </w:rPr>
        <w:t xml:space="preserve">, </w:t>
      </w:r>
      <w:r>
        <w:rPr>
          <w:rFonts w:ascii="Century Gothic" w:hAnsi="Century Gothic"/>
        </w:rPr>
        <w:t xml:space="preserve">une </w:t>
      </w:r>
      <w:r>
        <w:rPr>
          <w:rFonts w:ascii="Century Gothic" w:hAnsi="Century Gothic"/>
        </w:rPr>
        <w:t xml:space="preserve">cinquante (50) personnes seront sélectionnées, avec l’appui des CVD et bénéficieront chacun des </w:t>
      </w:r>
      <w:r>
        <w:rPr>
          <w:rFonts w:ascii="Century Gothic" w:hAnsi="Century Gothic"/>
        </w:rPr>
        <w:t>5</w:t>
      </w:r>
      <w:r>
        <w:rPr>
          <w:rFonts w:ascii="Century Gothic" w:hAnsi="Century Gothic"/>
        </w:rPr>
        <w:t xml:space="preserve">0 plants pour les plantations, haies, etc. Au total </w:t>
      </w:r>
      <w:r>
        <w:rPr>
          <w:rFonts w:ascii="Century Gothic" w:hAnsi="Century Gothic"/>
        </w:rPr>
        <w:t>75</w:t>
      </w:r>
      <w:r>
        <w:rPr>
          <w:rFonts w:ascii="Century Gothic" w:hAnsi="Century Gothic"/>
        </w:rPr>
        <w:t>00</w:t>
      </w:r>
      <w:r>
        <w:rPr>
          <w:rFonts w:ascii="Century Gothic" w:hAnsi="Century Gothic"/>
        </w:rPr>
        <w:t xml:space="preserve"> plants seront reboisés par an pendant </w:t>
      </w:r>
      <w:r>
        <w:rPr>
          <w:rFonts w:ascii="Century Gothic" w:hAnsi="Century Gothic"/>
        </w:rPr>
        <w:t xml:space="preserve">trois </w:t>
      </w:r>
      <w:r>
        <w:rPr>
          <w:rFonts w:ascii="Century Gothic" w:hAnsi="Century Gothic"/>
        </w:rPr>
        <w:t>ans</w:t>
      </w:r>
      <w:r>
        <w:rPr>
          <w:rFonts w:ascii="Century Gothic" w:hAnsi="Century Gothic"/>
        </w:rPr>
        <w:t xml:space="preserve"> soit un total de </w:t>
      </w:r>
      <w:r>
        <w:rPr>
          <w:rFonts w:ascii="Century Gothic" w:hAnsi="Century Gothic"/>
        </w:rPr>
        <w:t>22 5</w:t>
      </w:r>
      <w:r>
        <w:rPr>
          <w:rFonts w:ascii="Century Gothic" w:hAnsi="Century Gothic"/>
        </w:rPr>
        <w:t>00 plants</w:t>
      </w:r>
      <w:r>
        <w:rPr>
          <w:rFonts w:ascii="Century Gothic" w:hAnsi="Century Gothic"/>
        </w:rPr>
        <w:t xml:space="preserve"> pour les trois premières années du projet</w:t>
      </w:r>
      <w:r>
        <w:rPr>
          <w:rFonts w:ascii="Century Gothic" w:hAnsi="Century Gothic"/>
        </w:rPr>
        <w:t xml:space="preserve">. Les plants seront achetés à l’an 1 du projet aux pépiniéristes de sorte à leur permettre de poursuivre l’activité pour les deux prochaines campagnes. </w:t>
      </w:r>
      <w:r>
        <w:rPr>
          <w:rFonts w:ascii="Century Gothic" w:hAnsi="Century Gothic"/>
          <w:b/>
        </w:rPr>
        <w:t>Les résultats attendu</w:t>
      </w:r>
      <w:r>
        <w:rPr>
          <w:rFonts w:ascii="Century Gothic" w:hAnsi="Century Gothic"/>
        </w:rPr>
        <w:t xml:space="preserve">s sont : (1) le potentiel de séquestration </w:t>
      </w:r>
      <w:r>
        <w:rPr>
          <w:rFonts w:ascii="Century Gothic" w:hAnsi="Century Gothic"/>
        </w:rPr>
        <w:t xml:space="preserve">des gaz à effet de serre </w:t>
      </w:r>
      <w:r>
        <w:rPr>
          <w:rFonts w:ascii="Century Gothic" w:hAnsi="Century Gothic"/>
        </w:rPr>
        <w:t xml:space="preserve">de </w:t>
      </w:r>
      <w:r>
        <w:rPr>
          <w:rFonts w:ascii="Century Gothic" w:hAnsi="Century Gothic"/>
        </w:rPr>
        <w:t xml:space="preserve">l’espace de conservation de </w:t>
      </w:r>
      <w:r>
        <w:rPr>
          <w:rFonts w:ascii="Century Gothic" w:hAnsi="Century Gothic"/>
          <w:spacing w:val="-1"/>
        </w:rPr>
        <w:t>Kaya</w:t>
      </w:r>
      <w:r>
        <w:rPr>
          <w:rFonts w:ascii="Century Gothic" w:hAnsi="Century Gothic"/>
          <w:i/>
          <w:spacing w:val="-1"/>
          <w:u w:val="single"/>
        </w:rPr>
        <w:t> </w:t>
      </w:r>
      <w:r>
        <w:rPr>
          <w:rFonts w:ascii="Century Gothic" w:hAnsi="Century Gothic"/>
        </w:rPr>
        <w:t xml:space="preserve"> </w:t>
      </w:r>
      <w:r>
        <w:rPr>
          <w:rFonts w:ascii="Century Gothic" w:hAnsi="Century Gothic"/>
        </w:rPr>
        <w:t xml:space="preserve">est renforcé et (2) la </w:t>
      </w:r>
      <w:r>
        <w:rPr>
          <w:rFonts w:ascii="Century Gothic" w:hAnsi="Century Gothic"/>
        </w:rPr>
        <w:t>disponibilité des plants utilitaires dans les ménages est renforcée</w:t>
      </w:r>
      <w:r>
        <w:rPr>
          <w:rFonts w:ascii="Century Gothic" w:hAnsi="Century Gothic"/>
          <w:b/>
          <w:i/>
        </w:rPr>
        <w:t xml:space="preserve">. </w:t>
      </w:r>
      <w:r>
        <w:rPr>
          <w:rFonts w:ascii="Century Gothic" w:hAnsi="Century Gothic"/>
          <w:b/>
        </w:rPr>
        <w:t>Les impacts</w:t>
      </w:r>
      <w:r>
        <w:rPr>
          <w:rFonts w:ascii="Century Gothic" w:hAnsi="Century Gothic"/>
        </w:rPr>
        <w:t xml:space="preserve"> sont le renforcement du couvert végétal et la valorisation à moyen terme des plants reboisés (fruits, bois). </w:t>
      </w:r>
      <w:r>
        <w:rPr>
          <w:rFonts w:ascii="Century Gothic" w:hAnsi="Century Gothic"/>
          <w:b/>
        </w:rPr>
        <w:t>Les moyens humains</w:t>
      </w:r>
      <w:r>
        <w:rPr>
          <w:rFonts w:ascii="Century Gothic" w:hAnsi="Century Gothic"/>
        </w:rPr>
        <w:t xml:space="preserve"> sont constitués de l’expertise technique du service forestier et de la main d’œuvre des bénéficiaires pour les trouaisons, la plantation et les entretiens des plants reçus. </w:t>
      </w:r>
      <w:r>
        <w:rPr>
          <w:rFonts w:ascii="Century Gothic" w:hAnsi="Century Gothic"/>
          <w:b/>
        </w:rPr>
        <w:t>Les moyens matériels</w:t>
      </w:r>
      <w:r>
        <w:rPr>
          <w:rFonts w:ascii="Century Gothic" w:hAnsi="Century Gothic"/>
        </w:rPr>
        <w:t xml:space="preserve"> seront constitués de plants, de pic à gaz et de pelles, des mètres ruban …). </w:t>
      </w:r>
      <w:r>
        <w:rPr>
          <w:rFonts w:ascii="Century Gothic" w:hAnsi="Century Gothic"/>
          <w:b/>
        </w:rPr>
        <w:t>Les moyens financiers</w:t>
      </w:r>
      <w:r>
        <w:rPr>
          <w:rFonts w:ascii="Century Gothic" w:hAnsi="Century Gothic"/>
        </w:rPr>
        <w:t xml:space="preserve"> seront de ressources financières pour l’acquisition des plants et du matériel, la prise en charge du service forestier. Ces ressources seront financées par le budget du PDIC/REDD+ de </w:t>
      </w:r>
      <w:r>
        <w:rPr>
          <w:rFonts w:ascii="Century Gothic" w:hAnsi="Century Gothic"/>
        </w:rPr>
        <w:t>Tiébélé</w:t>
      </w:r>
      <w:r>
        <w:rPr>
          <w:rFonts w:ascii="Century Gothic" w:hAnsi="Century Gothic"/>
        </w:rPr>
        <w:t xml:space="preserve">. Les trouaisons, plantations et entretien des plantations seront la contribution des populations. L’organisation et la gestion de l’activité sera faite par la commune à travers le maire qui assure le rôle de coordinateur en collaboration avec, l’association Ga Mo Wigna, le service forestier.  </w:t>
      </w:r>
    </w:p>
    <w:p>
      <w:pPr>
        <w:pStyle w:val="style0"/>
        <w:widowControl w:val="false"/>
        <w:tabs>
          <w:tab w:val="left" w:leader="none" w:pos="9214"/>
          <w:tab w:val="left" w:leader="none" w:pos="9639"/>
        </w:tabs>
        <w:autoSpaceDE w:val="false"/>
        <w:autoSpaceDN w:val="false"/>
        <w:adjustRightInd w:val="false"/>
        <w:jc w:val="both"/>
        <w:rPr>
          <w:rFonts w:ascii="Century Gothic" w:hAnsi="Century Gothic"/>
        </w:rPr>
      </w:pPr>
    </w:p>
    <w:p>
      <w:pPr>
        <w:pStyle w:val="style0"/>
        <w:tabs>
          <w:tab w:val="left" w:leader="none" w:pos="9214"/>
          <w:tab w:val="left" w:leader="none" w:pos="9639"/>
        </w:tabs>
        <w:jc w:val="both"/>
        <w:rPr>
          <w:rFonts w:ascii="Century Gothic" w:hAnsi="Century Gothic"/>
          <w:i/>
        </w:rPr>
      </w:pPr>
      <w:r>
        <w:rPr>
          <w:rFonts w:ascii="Century Gothic" w:hAnsi="Century Gothic"/>
          <w:i/>
          <w:u w:val="single"/>
        </w:rPr>
        <w:t>Sous-Activité 4.1.2.1.1.4</w:t>
      </w:r>
      <w:r>
        <w:rPr>
          <w:rFonts w:ascii="Century Gothic" w:hAnsi="Century Gothic"/>
          <w:bCs/>
          <w:i/>
          <w:u w:val="single"/>
        </w:rPr>
        <w:t xml:space="preserve">. </w:t>
      </w:r>
      <w:r>
        <w:rPr>
          <w:rFonts w:ascii="Century Gothic" w:hAnsi="Century Gothic"/>
          <w:i/>
          <w:u w:val="single"/>
        </w:rPr>
        <w:t xml:space="preserve">Mettre en place un comité villageois de gestion de la forêt villageoise de </w:t>
      </w:r>
      <w:r>
        <w:rPr>
          <w:rFonts w:ascii="Century Gothic" w:hAnsi="Century Gothic"/>
          <w:i/>
          <w:u w:val="single"/>
        </w:rPr>
        <w:t>Kaya</w:t>
      </w:r>
      <w:r>
        <w:rPr>
          <w:rFonts w:ascii="Century Gothic" w:hAnsi="Century Gothic"/>
          <w:i/>
        </w:rPr>
        <w:t xml:space="preserve">. </w:t>
      </w:r>
    </w:p>
    <w:p>
      <w:pPr>
        <w:pStyle w:val="style0"/>
        <w:tabs>
          <w:tab w:val="left" w:leader="none" w:pos="9214"/>
          <w:tab w:val="left" w:leader="none" w:pos="9639"/>
        </w:tabs>
        <w:jc w:val="both"/>
        <w:rPr>
          <w:rFonts w:ascii="Century Gothic" w:hAnsi="Century Gothic"/>
          <w:i/>
        </w:rPr>
      </w:pPr>
    </w:p>
    <w:p>
      <w:pPr>
        <w:pStyle w:val="style0"/>
        <w:tabs>
          <w:tab w:val="left" w:leader="none" w:pos="9214"/>
          <w:tab w:val="left" w:leader="none" w:pos="9639"/>
        </w:tabs>
        <w:jc w:val="both"/>
        <w:rPr>
          <w:rFonts w:ascii="Century Gothic" w:hAnsi="Century Gothic"/>
        </w:rPr>
      </w:pPr>
      <w:r>
        <w:rPr>
          <w:rFonts w:ascii="Century Gothic" w:hAnsi="Century Gothic"/>
          <w:b/>
          <w:bCs/>
        </w:rPr>
        <w:t xml:space="preserve">L’objectif de l’activité </w:t>
      </w:r>
      <w:r>
        <w:rPr>
          <w:rFonts w:ascii="Century Gothic" w:hAnsi="Century Gothic"/>
          <w:bCs/>
        </w:rPr>
        <w:t xml:space="preserve">est de mettre en place un </w:t>
      </w:r>
      <w:r>
        <w:rPr>
          <w:rFonts w:ascii="Century Gothic" w:hAnsi="Century Gothic"/>
          <w:bCs/>
        </w:rPr>
        <w:t>outil de gouvernance</w:t>
      </w:r>
      <w:r>
        <w:rPr>
          <w:rFonts w:ascii="Century Gothic" w:hAnsi="Century Gothic"/>
          <w:bCs/>
        </w:rPr>
        <w:t xml:space="preserve"> qui favorise la gestion durable des ressources. </w:t>
      </w:r>
      <w:r>
        <w:rPr>
          <w:rFonts w:ascii="Century Gothic" w:hAnsi="Century Gothic"/>
          <w:b/>
          <w:bCs/>
        </w:rPr>
        <w:t>La méthode </w:t>
      </w:r>
      <w:r>
        <w:rPr>
          <w:rFonts w:ascii="Century Gothic" w:hAnsi="Century Gothic"/>
          <w:bCs/>
        </w:rPr>
        <w:t xml:space="preserve">va reposer sur </w:t>
      </w:r>
      <w:r>
        <w:rPr>
          <w:rFonts w:ascii="Century Gothic" w:hAnsi="Century Gothic"/>
          <w:bCs/>
        </w:rPr>
        <w:t xml:space="preserve">une consultation des acteurs qui désigneront leurs représentants au comité de gestion. La préparation de la mise en place de comité de gestion se fera </w:t>
      </w:r>
      <w:r>
        <w:rPr>
          <w:rFonts w:ascii="Century Gothic" w:hAnsi="Century Gothic"/>
          <w:bCs/>
        </w:rPr>
        <w:t xml:space="preserve">sous forme d’assemblée villageoises avec </w:t>
      </w:r>
      <w:r>
        <w:rPr>
          <w:rFonts w:ascii="Century Gothic" w:hAnsi="Century Gothic"/>
          <w:bCs/>
        </w:rPr>
        <w:t>l</w:t>
      </w:r>
      <w:r>
        <w:rPr>
          <w:rFonts w:ascii="Century Gothic" w:hAnsi="Century Gothic"/>
          <w:bCs/>
        </w:rPr>
        <w:t>a participation de la mairie et des services techniques</w:t>
      </w:r>
      <w:r>
        <w:rPr>
          <w:rFonts w:ascii="Century Gothic" w:hAnsi="Century Gothic"/>
          <w:bCs/>
        </w:rPr>
        <w:t xml:space="preserve">. </w:t>
      </w:r>
      <w:r>
        <w:rPr>
          <w:rFonts w:ascii="Century Gothic" w:hAnsi="Century Gothic"/>
          <w:b/>
          <w:bCs/>
        </w:rPr>
        <w:t>Le résultat attendu</w:t>
      </w:r>
      <w:r>
        <w:rPr>
          <w:rFonts w:ascii="Century Gothic" w:hAnsi="Century Gothic"/>
          <w:bCs/>
        </w:rPr>
        <w:t xml:space="preserve"> est</w:t>
      </w:r>
      <w:r>
        <w:rPr>
          <w:rFonts w:ascii="Century Gothic" w:hAnsi="Century Gothic"/>
          <w:b/>
          <w:bCs/>
        </w:rPr>
        <w:t xml:space="preserve"> </w:t>
      </w:r>
      <w:r>
        <w:rPr>
          <w:rFonts w:ascii="Century Gothic" w:hAnsi="Century Gothic"/>
          <w:bCs/>
        </w:rPr>
        <w:t>que le</w:t>
      </w:r>
      <w:r>
        <w:rPr>
          <w:rFonts w:ascii="Century Gothic" w:hAnsi="Century Gothic"/>
        </w:rPr>
        <w:t xml:space="preserve"> comité villageois </w:t>
      </w:r>
      <w:r>
        <w:rPr>
          <w:rFonts w:ascii="Century Gothic" w:hAnsi="Century Gothic"/>
        </w:rPr>
        <w:t xml:space="preserve">de gestion </w:t>
      </w:r>
      <w:r>
        <w:rPr>
          <w:rFonts w:ascii="Century Gothic" w:hAnsi="Century Gothic"/>
        </w:rPr>
        <w:t xml:space="preserve">de la forêt de </w:t>
      </w:r>
      <w:r>
        <w:rPr>
          <w:rFonts w:ascii="Century Gothic" w:hAnsi="Century Gothic"/>
        </w:rPr>
        <w:t>Kaya</w:t>
      </w:r>
      <w:r>
        <w:rPr>
          <w:rFonts w:ascii="Century Gothic" w:hAnsi="Century Gothic"/>
        </w:rPr>
        <w:t xml:space="preserve"> </w:t>
      </w:r>
      <w:r>
        <w:rPr>
          <w:rFonts w:ascii="Century Gothic" w:hAnsi="Century Gothic"/>
        </w:rPr>
        <w:t xml:space="preserve">composé </w:t>
      </w:r>
      <w:r>
        <w:rPr>
          <w:rFonts w:ascii="Century Gothic" w:hAnsi="Century Gothic"/>
        </w:rPr>
        <w:t xml:space="preserve">de sept (7) membres jouissant d’une légitimité est mis en place et les ressources matérielles et financières de la forêt de </w:t>
      </w:r>
      <w:r>
        <w:rPr>
          <w:rFonts w:ascii="Century Gothic" w:hAnsi="Century Gothic"/>
        </w:rPr>
        <w:t>Kaya</w:t>
      </w:r>
      <w:r>
        <w:rPr>
          <w:rFonts w:ascii="Century Gothic" w:hAnsi="Century Gothic"/>
        </w:rPr>
        <w:t xml:space="preserve"> sont gérées durablement</w:t>
      </w:r>
      <w:r>
        <w:rPr>
          <w:rFonts w:ascii="Century Gothic" w:hAnsi="Century Gothic"/>
          <w:bCs/>
        </w:rPr>
        <w:t xml:space="preserve">. </w:t>
      </w:r>
      <w:r>
        <w:rPr>
          <w:rFonts w:ascii="Century Gothic" w:hAnsi="Century Gothic"/>
          <w:b/>
        </w:rPr>
        <w:t>Les moyens physiques</w:t>
      </w:r>
      <w:r>
        <w:rPr>
          <w:rFonts w:ascii="Century Gothic" w:hAnsi="Century Gothic"/>
        </w:rPr>
        <w:t xml:space="preserve"> se résumeront en documents papiers (documents statutaires, </w:t>
      </w:r>
      <w:r>
        <w:rPr>
          <w:rFonts w:ascii="Century Gothic" w:hAnsi="Century Gothic"/>
        </w:rPr>
        <w:t>Procès-Verbal</w:t>
      </w:r>
      <w:r>
        <w:rPr>
          <w:rFonts w:ascii="Century Gothic" w:hAnsi="Century Gothic"/>
        </w:rPr>
        <w:t xml:space="preserve"> d’Assemblée Générale, </w:t>
      </w:r>
      <w:r>
        <w:rPr>
          <w:rFonts w:ascii="Century Gothic" w:hAnsi="Century Gothic"/>
        </w:rPr>
        <w:t>document</w:t>
      </w:r>
      <w:r>
        <w:rPr>
          <w:rFonts w:ascii="Century Gothic" w:hAnsi="Century Gothic"/>
        </w:rPr>
        <w:t xml:space="preserve"> de reconnaissance) et </w:t>
      </w:r>
      <w:r>
        <w:rPr>
          <w:rFonts w:ascii="Century Gothic" w:hAnsi="Century Gothic"/>
          <w:b/>
        </w:rPr>
        <w:t>moyens humains</w:t>
      </w:r>
      <w:r>
        <w:rPr>
          <w:rFonts w:ascii="Century Gothic" w:hAnsi="Century Gothic"/>
        </w:rPr>
        <w:t xml:space="preserve"> </w:t>
      </w:r>
      <w:r>
        <w:rPr>
          <w:rFonts w:ascii="Century Gothic" w:hAnsi="Century Gothic"/>
        </w:rPr>
        <w:t xml:space="preserve">seront </w:t>
      </w:r>
      <w:r>
        <w:rPr>
          <w:rFonts w:ascii="Century Gothic" w:hAnsi="Century Gothic"/>
        </w:rPr>
        <w:t>constitués de l’expertise technique d</w:t>
      </w:r>
      <w:r>
        <w:rPr>
          <w:rFonts w:ascii="Century Gothic" w:hAnsi="Century Gothic"/>
        </w:rPr>
        <w:t>u service de l’agriculture</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constitués de frais de prise en charge </w:t>
      </w:r>
      <w:r>
        <w:rPr>
          <w:rFonts w:ascii="Century Gothic" w:hAnsi="Century Gothic"/>
        </w:rPr>
        <w:t xml:space="preserve">du représentant </w:t>
      </w:r>
      <w:r>
        <w:rPr>
          <w:rFonts w:ascii="Century Gothic" w:hAnsi="Century Gothic"/>
          <w:bCs/>
        </w:rPr>
        <w:t>de la mairie et des services techniques</w:t>
      </w:r>
      <w:r>
        <w:rPr>
          <w:rFonts w:ascii="Century Gothic" w:hAnsi="Century Gothic"/>
        </w:rPr>
        <w:t xml:space="preserve"> </w:t>
      </w:r>
      <w:r>
        <w:rPr>
          <w:rFonts w:ascii="Century Gothic" w:hAnsi="Century Gothic"/>
        </w:rPr>
        <w:t xml:space="preserve">et </w:t>
      </w:r>
      <w:r>
        <w:rPr>
          <w:rFonts w:ascii="Century Gothic" w:hAnsi="Century Gothic"/>
        </w:rPr>
        <w:t>les frais de rafraîchissement lors des assemblées villageoises</w:t>
      </w:r>
      <w:r>
        <w:rPr>
          <w:rFonts w:ascii="Century Gothic" w:hAnsi="Century Gothic"/>
        </w:rPr>
        <w:t xml:space="preserve">. Ces ressources seront financées par le budget du </w:t>
      </w:r>
      <w:r>
        <w:rPr>
          <w:rFonts w:ascii="Century Gothic" w:hAnsi="Century Gothic"/>
        </w:rPr>
        <w:t xml:space="preserve">PDIC/REDD+ de </w:t>
      </w:r>
      <w:r>
        <w:rPr>
          <w:rFonts w:ascii="Century Gothic" w:hAnsi="Century Gothic"/>
        </w:rPr>
        <w:t>Tiébélé</w:t>
      </w:r>
      <w:r>
        <w:rPr>
          <w:rFonts w:ascii="Century Gothic" w:hAnsi="Century Gothic"/>
        </w:rPr>
        <w:t xml:space="preserve">. </w:t>
      </w:r>
      <w:r>
        <w:rPr>
          <w:rFonts w:ascii="Century Gothic" w:hAnsi="Century Gothic"/>
        </w:rPr>
        <w:t>L’organisation et la gestion de l’activité sera faite par la commune qui assure le rôle de coordination.</w:t>
      </w:r>
    </w:p>
    <w:p>
      <w:pPr>
        <w:pStyle w:val="style0"/>
        <w:tabs>
          <w:tab w:val="left" w:leader="none" w:pos="9214"/>
          <w:tab w:val="left" w:leader="none" w:pos="9639"/>
        </w:tabs>
        <w:jc w:val="both"/>
        <w:rPr>
          <w:rFonts w:ascii="Century Gothic" w:hAnsi="Century Gothic"/>
          <w:b/>
          <w:bCs/>
        </w:rPr>
      </w:pPr>
    </w:p>
    <w:p>
      <w:pPr>
        <w:pStyle w:val="style0"/>
        <w:tabs>
          <w:tab w:val="left" w:leader="none" w:pos="9214"/>
          <w:tab w:val="left" w:leader="none" w:pos="9639"/>
        </w:tabs>
        <w:jc w:val="both"/>
        <w:rPr>
          <w:rFonts w:ascii="Century Gothic" w:hAnsi="Century Gothic"/>
          <w:b/>
          <w:bCs/>
          <w:i/>
        </w:rPr>
      </w:pPr>
      <w:r>
        <w:rPr>
          <w:rFonts w:ascii="Century Gothic" w:hAnsi="Century Gothic"/>
          <w:i/>
          <w:u w:val="single"/>
        </w:rPr>
        <w:t>Sous-Activité 4.1.2.1.1.5</w:t>
      </w:r>
      <w:r>
        <w:rPr>
          <w:rFonts w:ascii="Century Gothic" w:hAnsi="Century Gothic"/>
          <w:bCs/>
          <w:i/>
          <w:u w:val="single"/>
        </w:rPr>
        <w:t xml:space="preserve">. Former/ recycler 07 membres du comité de gestion / suivi de la charte sur leurs attributions dans l’espace de conservation de </w:t>
      </w:r>
      <w:r>
        <w:rPr>
          <w:rFonts w:ascii="Century Gothic" w:hAnsi="Century Gothic"/>
          <w:bCs/>
          <w:i/>
          <w:u w:val="single"/>
        </w:rPr>
        <w:t>Kaya</w:t>
      </w:r>
      <w:r>
        <w:rPr>
          <w:rFonts w:ascii="Century Gothic" w:hAnsi="Century Gothic"/>
          <w:bCs/>
          <w:i/>
          <w:u w:val="single"/>
        </w:rPr>
        <w:t>.</w:t>
      </w:r>
      <w:r>
        <w:rPr>
          <w:rFonts w:ascii="Century Gothic" w:hAnsi="Century Gothic"/>
          <w:b/>
          <w:bCs/>
          <w:i/>
        </w:rPr>
        <w:t xml:space="preserve"> </w:t>
      </w:r>
    </w:p>
    <w:p>
      <w:pPr>
        <w:pStyle w:val="style0"/>
        <w:tabs>
          <w:tab w:val="left" w:leader="none" w:pos="9214"/>
          <w:tab w:val="left" w:leader="none" w:pos="9639"/>
        </w:tabs>
        <w:jc w:val="both"/>
        <w:rPr>
          <w:rFonts w:ascii="Century Gothic" w:hAnsi="Century Gothic"/>
          <w:b/>
          <w:bCs/>
          <w:i/>
        </w:rPr>
      </w:pPr>
    </w:p>
    <w:p>
      <w:pPr>
        <w:pStyle w:val="style0"/>
        <w:tabs>
          <w:tab w:val="left" w:leader="none" w:pos="9214"/>
          <w:tab w:val="left" w:leader="none" w:pos="9639"/>
        </w:tabs>
        <w:jc w:val="both"/>
        <w:rPr>
          <w:rFonts w:ascii="Century Gothic" w:hAnsi="Century Gothic"/>
          <w:bCs/>
        </w:rPr>
      </w:pPr>
      <w:r>
        <w:rPr>
          <w:rFonts w:ascii="Century Gothic" w:hAnsi="Century Gothic"/>
          <w:b/>
          <w:bCs/>
        </w:rPr>
        <w:t>L’objectif de l’activité</w:t>
      </w:r>
      <w:r>
        <w:rPr>
          <w:rFonts w:ascii="Century Gothic" w:hAnsi="Century Gothic"/>
          <w:bCs/>
        </w:rPr>
        <w:t xml:space="preserve"> est de permettre </w:t>
      </w:r>
      <w:r>
        <w:rPr>
          <w:rFonts w:ascii="Century Gothic" w:hAnsi="Century Gothic"/>
          <w:bCs/>
        </w:rPr>
        <w:t xml:space="preserve">au comité de gestion </w:t>
      </w:r>
      <w:r>
        <w:rPr>
          <w:rFonts w:ascii="Century Gothic" w:hAnsi="Century Gothic"/>
          <w:bCs/>
        </w:rPr>
        <w:t xml:space="preserve">d’exercer pleinement leurs missions de gestion/suivi de la mise en œuvre de la charte au niveau local. </w:t>
      </w:r>
      <w:r>
        <w:rPr>
          <w:rFonts w:ascii="Century Gothic" w:hAnsi="Century Gothic"/>
          <w:b/>
          <w:bCs/>
        </w:rPr>
        <w:t>La méthode </w:t>
      </w:r>
      <w:r>
        <w:rPr>
          <w:rFonts w:ascii="Century Gothic" w:hAnsi="Century Gothic"/>
          <w:bCs/>
        </w:rPr>
        <w:t>reposera sur</w:t>
      </w:r>
      <w:r>
        <w:rPr>
          <w:rFonts w:ascii="Century Gothic" w:hAnsi="Century Gothic"/>
          <w:b/>
          <w:bCs/>
        </w:rPr>
        <w:t xml:space="preserve"> </w:t>
      </w:r>
      <w:r>
        <w:rPr>
          <w:rFonts w:ascii="Century Gothic" w:hAnsi="Century Gothic"/>
          <w:bCs/>
        </w:rPr>
        <w:t>une</w:t>
      </w:r>
      <w:r>
        <w:rPr>
          <w:rFonts w:ascii="Century Gothic" w:hAnsi="Century Gothic"/>
          <w:bCs/>
        </w:rPr>
        <w:t xml:space="preserve"> formation initiale d’une journée</w:t>
      </w:r>
      <w:r>
        <w:rPr>
          <w:rFonts w:ascii="Century Gothic" w:hAnsi="Century Gothic"/>
          <w:bCs/>
        </w:rPr>
        <w:t xml:space="preserve"> suivie d’une session de </w:t>
      </w:r>
      <w:r>
        <w:rPr>
          <w:rFonts w:ascii="Century Gothic" w:hAnsi="Century Gothic"/>
          <w:bCs/>
        </w:rPr>
        <w:t>recyclage et de suivi in situ. L’animation de</w:t>
      </w:r>
      <w:r>
        <w:rPr>
          <w:rFonts w:ascii="Century Gothic" w:hAnsi="Century Gothic"/>
          <w:bCs/>
        </w:rPr>
        <w:t xml:space="preserve"> la</w:t>
      </w:r>
      <w:r>
        <w:rPr>
          <w:rFonts w:ascii="Century Gothic" w:hAnsi="Century Gothic"/>
          <w:bCs/>
        </w:rPr>
        <w:t xml:space="preserve"> formation</w:t>
      </w:r>
      <w:r>
        <w:rPr>
          <w:rFonts w:ascii="Century Gothic" w:hAnsi="Century Gothic"/>
          <w:bCs/>
        </w:rPr>
        <w:t xml:space="preserve"> et du </w:t>
      </w:r>
      <w:r>
        <w:rPr>
          <w:rFonts w:ascii="Century Gothic" w:hAnsi="Century Gothic"/>
          <w:bCs/>
        </w:rPr>
        <w:t>recyclage sera assurée par l’agent SFR</w:t>
      </w:r>
      <w:r>
        <w:rPr>
          <w:rFonts w:ascii="Century Gothic" w:hAnsi="Century Gothic"/>
          <w:bCs/>
        </w:rPr>
        <w:t xml:space="preserve"> de Tiébélé</w:t>
      </w:r>
      <w:r>
        <w:rPr>
          <w:rFonts w:ascii="Century Gothic" w:hAnsi="Century Gothic"/>
          <w:bCs/>
        </w:rPr>
        <w:t xml:space="preserve"> </w:t>
      </w:r>
      <w:r>
        <w:rPr>
          <w:rFonts w:ascii="Century Gothic" w:hAnsi="Century Gothic"/>
          <w:bCs/>
        </w:rPr>
        <w:t>(</w:t>
      </w:r>
      <w:r>
        <w:rPr>
          <w:rFonts w:ascii="Century Gothic" w:hAnsi="Century Gothic"/>
          <w:bCs/>
        </w:rPr>
        <w:t>Tiébélé</w:t>
      </w:r>
      <w:r>
        <w:rPr>
          <w:rFonts w:ascii="Century Gothic" w:hAnsi="Century Gothic"/>
          <w:bCs/>
        </w:rPr>
        <w:t xml:space="preserve"> n’ayant pas de service foncier opérationnel) </w:t>
      </w:r>
      <w:r>
        <w:rPr>
          <w:rFonts w:ascii="Century Gothic" w:hAnsi="Century Gothic"/>
          <w:bCs/>
        </w:rPr>
        <w:t>avec l’appui du service départemental en charge de l’</w:t>
      </w:r>
      <w:r>
        <w:rPr>
          <w:rFonts w:ascii="Century Gothic" w:hAnsi="Century Gothic"/>
          <w:bCs/>
        </w:rPr>
        <w:t>agriculture</w:t>
      </w:r>
      <w:r>
        <w:rPr>
          <w:rFonts w:ascii="Century Gothic" w:hAnsi="Century Gothic"/>
          <w:bCs/>
        </w:rPr>
        <w:t xml:space="preserve"> de </w:t>
      </w:r>
      <w:r>
        <w:rPr>
          <w:rFonts w:ascii="Century Gothic" w:hAnsi="Century Gothic"/>
          <w:bCs/>
        </w:rPr>
        <w:t>Tiébélé</w:t>
      </w:r>
      <w:r>
        <w:rPr>
          <w:rFonts w:ascii="Century Gothic" w:hAnsi="Century Gothic"/>
          <w:bCs/>
        </w:rPr>
        <w:t xml:space="preserve">. </w:t>
      </w:r>
      <w:r>
        <w:rPr>
          <w:rFonts w:ascii="Century Gothic" w:hAnsi="Century Gothic"/>
          <w:b/>
          <w:bCs/>
        </w:rPr>
        <w:t>Les résultats attendus </w:t>
      </w:r>
      <w:r>
        <w:rPr>
          <w:rFonts w:ascii="Century Gothic" w:hAnsi="Century Gothic"/>
          <w:bCs/>
        </w:rPr>
        <w:t xml:space="preserve">sont que </w:t>
      </w:r>
      <w:r>
        <w:rPr>
          <w:rFonts w:ascii="Century Gothic" w:hAnsi="Century Gothic"/>
          <w:bCs/>
        </w:rPr>
        <w:t>(1) les</w:t>
      </w:r>
      <w:r>
        <w:rPr>
          <w:rFonts w:ascii="Century Gothic" w:hAnsi="Century Gothic"/>
          <w:bCs/>
        </w:rPr>
        <w:t xml:space="preserve"> membres du comité de inter-villageois de gestion/suivi de l’espace de conservation de </w:t>
      </w:r>
      <w:r>
        <w:rPr>
          <w:rFonts w:ascii="Century Gothic" w:hAnsi="Century Gothic"/>
          <w:bCs/>
        </w:rPr>
        <w:t>Kaya</w:t>
      </w:r>
      <w:r>
        <w:rPr>
          <w:rFonts w:ascii="Century Gothic" w:hAnsi="Century Gothic"/>
          <w:bCs/>
        </w:rPr>
        <w:t xml:space="preserve"> renforcent leurs capacités à l’exercice de leur mission et </w:t>
      </w:r>
      <w:r>
        <w:rPr>
          <w:rFonts w:ascii="Century Gothic" w:hAnsi="Century Gothic"/>
          <w:bCs/>
        </w:rPr>
        <w:t xml:space="preserve">(2) </w:t>
      </w:r>
      <w:r>
        <w:rPr>
          <w:rFonts w:ascii="Century Gothic" w:hAnsi="Century Gothic"/>
          <w:bCs/>
        </w:rPr>
        <w:t>sont capables d’informer/sensibiliser sainement les popula</w:t>
      </w:r>
      <w:r>
        <w:rPr>
          <w:rFonts w:ascii="Century Gothic" w:hAnsi="Century Gothic"/>
          <w:bCs/>
        </w:rPr>
        <w:t>tions riveraines sur sa gestion</w:t>
      </w:r>
      <w:r>
        <w:rPr>
          <w:rFonts w:ascii="Century Gothic" w:hAnsi="Century Gothic"/>
          <w:bCs/>
        </w:rPr>
        <w:t xml:space="preserve">. </w:t>
      </w:r>
      <w:r>
        <w:rPr>
          <w:rFonts w:ascii="Century Gothic" w:hAnsi="Century Gothic"/>
          <w:b/>
        </w:rPr>
        <w:t>Les moyens physiques</w:t>
      </w:r>
      <w:r>
        <w:rPr>
          <w:rFonts w:ascii="Century Gothic" w:hAnsi="Century Gothic"/>
        </w:rPr>
        <w:t xml:space="preserve"> se résumeront en documents papiers (fournitures) et </w:t>
      </w:r>
      <w:r>
        <w:rPr>
          <w:rFonts w:ascii="Century Gothic" w:hAnsi="Century Gothic"/>
          <w:b/>
        </w:rPr>
        <w:t>moyens humains</w:t>
      </w:r>
      <w:r>
        <w:rPr>
          <w:rFonts w:ascii="Century Gothic" w:hAnsi="Century Gothic"/>
        </w:rPr>
        <w:t xml:space="preserve"> constitués de l’expertise </w:t>
      </w:r>
      <w:r>
        <w:rPr>
          <w:rFonts w:ascii="Century Gothic" w:hAnsi="Century Gothic"/>
          <w:bCs/>
        </w:rPr>
        <w:t>l’agent SFR de Tiébélé</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constitués de frais de prise en charge et rencontres. Ces ressources seront financées par le budget du </w:t>
      </w:r>
      <w:r>
        <w:rPr>
          <w:rFonts w:ascii="Century Gothic" w:hAnsi="Century Gothic"/>
        </w:rPr>
        <w:t xml:space="preserve">PDIC/REDD+ de </w:t>
      </w:r>
      <w:r>
        <w:rPr>
          <w:rFonts w:ascii="Century Gothic" w:hAnsi="Century Gothic"/>
        </w:rPr>
        <w:t>Tiébélé</w:t>
      </w:r>
      <w:r>
        <w:rPr>
          <w:rFonts w:ascii="Century Gothic" w:hAnsi="Century Gothic"/>
        </w:rPr>
        <w:t xml:space="preserve">. </w:t>
      </w:r>
      <w:r>
        <w:rPr>
          <w:rFonts w:ascii="Century Gothic" w:hAnsi="Century Gothic"/>
        </w:rPr>
        <w:t xml:space="preserve">L’organisation et la gestion de l’activité sera faite par le </w:t>
      </w:r>
      <w:r>
        <w:rPr>
          <w:rFonts w:ascii="Century Gothic" w:hAnsi="Century Gothic"/>
        </w:rPr>
        <w:t>maire</w:t>
      </w:r>
      <w:r>
        <w:rPr>
          <w:rFonts w:ascii="Century Gothic" w:hAnsi="Century Gothic"/>
        </w:rPr>
        <w:t xml:space="preserve"> qui assure le rôle de coordination de l’activité</w:t>
      </w:r>
      <w:r>
        <w:rPr>
          <w:rFonts w:ascii="Century Gothic" w:hAnsi="Century Gothic"/>
        </w:rPr>
        <w:t xml:space="preserve"> en collaboration avec le comité de gestion</w:t>
      </w:r>
      <w:r>
        <w:rPr>
          <w:rFonts w:ascii="Century Gothic" w:hAnsi="Century Gothic"/>
        </w:rPr>
        <w:t xml:space="preserve">.  </w:t>
      </w:r>
    </w:p>
    <w:p>
      <w:pPr>
        <w:pStyle w:val="style0"/>
        <w:tabs>
          <w:tab w:val="left" w:leader="none" w:pos="9214"/>
          <w:tab w:val="left" w:leader="none" w:pos="9639"/>
        </w:tabs>
        <w:jc w:val="both"/>
        <w:rPr>
          <w:rFonts w:ascii="Century Gothic" w:hAnsi="Century Gothic"/>
          <w:b/>
          <w:bCs/>
        </w:rPr>
      </w:pPr>
    </w:p>
    <w:bookmarkStart w:id="25" w:name="_Toc11658553"/>
    <w:p>
      <w:pPr>
        <w:pStyle w:val="style0"/>
        <w:tabs>
          <w:tab w:val="left" w:leader="none" w:pos="9214"/>
          <w:tab w:val="left" w:leader="none" w:pos="9639"/>
        </w:tabs>
        <w:jc w:val="both"/>
        <w:outlineLvl w:val="3"/>
        <w:rPr>
          <w:rFonts w:ascii="Century Gothic" w:hAnsi="Century Gothic"/>
          <w:i/>
          <w:u w:val="single"/>
        </w:rPr>
      </w:pPr>
      <w:r>
        <w:rPr>
          <w:rFonts w:ascii="Century Gothic" w:hAnsi="Century Gothic"/>
          <w:i/>
          <w:u w:val="single"/>
        </w:rPr>
        <w:t>Sous-Activité 4.1.2.1.1.6</w:t>
      </w:r>
      <w:r>
        <w:rPr>
          <w:rFonts w:ascii="Century Gothic" w:hAnsi="Century Gothic"/>
          <w:bCs/>
          <w:i/>
          <w:u w:val="single"/>
        </w:rPr>
        <w:t xml:space="preserve">. </w:t>
      </w:r>
      <w:r>
        <w:rPr>
          <w:rFonts w:ascii="Century Gothic" w:hAnsi="Century Gothic"/>
          <w:i/>
          <w:u w:val="single"/>
        </w:rPr>
        <w:t xml:space="preserve">Elaborer une charte </w:t>
      </w:r>
      <w:r>
        <w:rPr>
          <w:rFonts w:ascii="Century Gothic" w:hAnsi="Century Gothic"/>
          <w:i/>
          <w:u w:val="single"/>
        </w:rPr>
        <w:t xml:space="preserve">foncière </w:t>
      </w:r>
      <w:r>
        <w:rPr>
          <w:rFonts w:ascii="Century Gothic" w:hAnsi="Century Gothic"/>
          <w:i/>
          <w:u w:val="single"/>
        </w:rPr>
        <w:t xml:space="preserve">locale </w:t>
      </w:r>
      <w:bookmarkEnd w:id="25"/>
      <w:r>
        <w:rPr>
          <w:rFonts w:ascii="Century Gothic" w:hAnsi="Century Gothic"/>
          <w:i/>
          <w:u w:val="single"/>
        </w:rPr>
        <w:t xml:space="preserve">de la forêt de </w:t>
      </w:r>
      <w:r>
        <w:rPr>
          <w:rFonts w:ascii="Century Gothic" w:hAnsi="Century Gothic"/>
          <w:i/>
          <w:u w:val="single"/>
        </w:rPr>
        <w:t>Kaya</w:t>
      </w:r>
    </w:p>
    <w:p>
      <w:pPr>
        <w:pStyle w:val="style0"/>
        <w:tabs>
          <w:tab w:val="left" w:leader="none" w:pos="9214"/>
          <w:tab w:val="left" w:leader="none" w:pos="9639"/>
        </w:tabs>
        <w:jc w:val="both"/>
        <w:outlineLvl w:val="3"/>
        <w:rPr>
          <w:rFonts w:ascii="Century Gothic" w:hAnsi="Century Gothic"/>
          <w:i/>
          <w:u w:val="single"/>
        </w:rPr>
      </w:pPr>
    </w:p>
    <w:p>
      <w:pPr>
        <w:pStyle w:val="style0"/>
        <w:tabs>
          <w:tab w:val="left" w:leader="none" w:pos="9214"/>
          <w:tab w:val="left" w:leader="none" w:pos="9639"/>
        </w:tabs>
        <w:jc w:val="both"/>
        <w:outlineLvl w:val="3"/>
        <w:rPr>
          <w:rFonts w:ascii="Century Gothic" w:hAnsi="Century Gothic"/>
        </w:rPr>
      </w:pPr>
      <w:r>
        <w:rPr>
          <w:rFonts w:ascii="Century Gothic" w:hAnsi="Century Gothic"/>
          <w:b/>
        </w:rPr>
        <w:t>L’objectif</w:t>
      </w:r>
      <w:r>
        <w:rPr>
          <w:rFonts w:ascii="Century Gothic" w:hAnsi="Century Gothic"/>
        </w:rPr>
        <w:t xml:space="preserve"> </w:t>
      </w:r>
      <w:r>
        <w:rPr>
          <w:rFonts w:ascii="Century Gothic" w:hAnsi="Century Gothic"/>
        </w:rPr>
        <w:t xml:space="preserve">est </w:t>
      </w:r>
      <w:r>
        <w:rPr>
          <w:rFonts w:ascii="Century Gothic" w:hAnsi="Century Gothic"/>
        </w:rPr>
        <w:t>de doter l</w:t>
      </w:r>
      <w:r>
        <w:rPr>
          <w:rFonts w:ascii="Century Gothic" w:hAnsi="Century Gothic"/>
        </w:rPr>
        <w:t xml:space="preserve">a forêt villageoise de </w:t>
      </w:r>
      <w:r>
        <w:rPr>
          <w:rFonts w:ascii="Century Gothic" w:hAnsi="Century Gothic"/>
        </w:rPr>
        <w:t>Kaya</w:t>
      </w:r>
      <w:r>
        <w:rPr>
          <w:rFonts w:ascii="Century Gothic" w:hAnsi="Century Gothic"/>
        </w:rPr>
        <w:t xml:space="preserve"> d’un </w:t>
      </w:r>
      <w:r>
        <w:rPr>
          <w:rFonts w:ascii="Century Gothic" w:hAnsi="Century Gothic"/>
        </w:rPr>
        <w:t>outil</w:t>
      </w:r>
      <w:r>
        <w:rPr>
          <w:rFonts w:ascii="Century Gothic" w:hAnsi="Century Gothic"/>
        </w:rPr>
        <w:t xml:space="preserve"> </w:t>
      </w:r>
      <w:r>
        <w:rPr>
          <w:rFonts w:ascii="Century Gothic" w:hAnsi="Century Gothic"/>
        </w:rPr>
        <w:t xml:space="preserve">nécessaires à sa bonne gestion afin d’assurer sa durabilité. </w:t>
      </w:r>
      <w:r>
        <w:rPr>
          <w:rFonts w:ascii="Century Gothic" w:hAnsi="Century Gothic"/>
          <w:b/>
        </w:rPr>
        <w:t>La</w:t>
      </w:r>
      <w:r>
        <w:rPr>
          <w:rFonts w:ascii="Century Gothic" w:hAnsi="Century Gothic"/>
        </w:rPr>
        <w:t xml:space="preserve"> </w:t>
      </w:r>
      <w:r>
        <w:rPr>
          <w:rFonts w:ascii="Century Gothic" w:hAnsi="Century Gothic"/>
          <w:b/>
        </w:rPr>
        <w:t>méthode</w:t>
      </w:r>
      <w:r>
        <w:rPr>
          <w:rFonts w:ascii="Century Gothic" w:hAnsi="Century Gothic"/>
        </w:rPr>
        <w:t xml:space="preserve"> </w:t>
      </w:r>
      <w:r>
        <w:rPr>
          <w:rFonts w:ascii="Century Gothic" w:hAnsi="Century Gothic"/>
        </w:rPr>
        <w:t xml:space="preserve">Il s’agira de rentre en contact avec TREE AID pour </w:t>
      </w:r>
      <w:r>
        <w:rPr>
          <w:rFonts w:ascii="Century Gothic" w:hAnsi="Century Gothic"/>
        </w:rPr>
        <w:t>harmoniser l’approche et mutualiser les ressources au besoin. Il s’agira d’</w:t>
      </w:r>
      <w:r>
        <w:rPr>
          <w:rFonts w:ascii="Century Gothic" w:hAnsi="Century Gothic"/>
        </w:rPr>
        <w:t xml:space="preserve">élaborer les TDR </w:t>
      </w:r>
      <w:r>
        <w:rPr>
          <w:rFonts w:ascii="Century Gothic" w:hAnsi="Century Gothic"/>
        </w:rPr>
        <w:t>et d’engager le processus avec le service foncier l</w:t>
      </w:r>
      <w:r>
        <w:rPr>
          <w:rFonts w:ascii="Century Gothic" w:hAnsi="Century Gothic"/>
        </w:rPr>
        <w:t>a</w:t>
      </w:r>
      <w:r>
        <w:rPr>
          <w:rFonts w:ascii="Century Gothic" w:hAnsi="Century Gothic"/>
        </w:rPr>
        <w:t xml:space="preserve"> commune qui est bien impliqué dans le processus. </w:t>
      </w:r>
      <w:r>
        <w:rPr>
          <w:rFonts w:ascii="Century Gothic" w:hAnsi="Century Gothic"/>
          <w:b/>
        </w:rPr>
        <w:t>Le résultat</w:t>
      </w:r>
      <w:r>
        <w:rPr>
          <w:rFonts w:ascii="Century Gothic" w:hAnsi="Century Gothic"/>
        </w:rPr>
        <w:t xml:space="preserve"> </w:t>
      </w:r>
      <w:r>
        <w:rPr>
          <w:rFonts w:ascii="Century Gothic" w:hAnsi="Century Gothic"/>
          <w:b/>
        </w:rPr>
        <w:t>attendu</w:t>
      </w:r>
      <w:r>
        <w:rPr>
          <w:rFonts w:ascii="Century Gothic" w:hAnsi="Century Gothic"/>
        </w:rPr>
        <w:t xml:space="preserve"> est que la forêt de </w:t>
      </w:r>
      <w:r>
        <w:rPr>
          <w:rFonts w:ascii="Century Gothic" w:hAnsi="Century Gothic"/>
        </w:rPr>
        <w:t>Kaya</w:t>
      </w:r>
      <w:r>
        <w:rPr>
          <w:rFonts w:ascii="Century Gothic" w:hAnsi="Century Gothic"/>
        </w:rPr>
        <w:t xml:space="preserve"> dispose d’un document consensuel de gestion</w:t>
      </w:r>
      <w:r>
        <w:rPr>
          <w:rFonts w:ascii="Century Gothic" w:hAnsi="Century Gothic"/>
        </w:rPr>
        <w:t xml:space="preserve">.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impliqués sont le </w:t>
      </w:r>
      <w:r>
        <w:rPr>
          <w:rFonts w:ascii="Century Gothic" w:cs="Calibri" w:hAnsi="Century Gothic"/>
          <w:color w:val="000000"/>
        </w:rPr>
        <w:t>comité de gestion</w:t>
      </w:r>
      <w:r>
        <w:rPr>
          <w:rFonts w:ascii="Century Gothic" w:cs="Calibri" w:hAnsi="Century Gothic"/>
          <w:color w:val="000000"/>
        </w:rPr>
        <w:t xml:space="preserve">, la Mairie de </w:t>
      </w:r>
      <w:r>
        <w:rPr>
          <w:rFonts w:ascii="Century Gothic" w:cs="Calibri" w:hAnsi="Century Gothic"/>
          <w:color w:val="000000"/>
        </w:rPr>
        <w:t>Tiébélé</w:t>
      </w:r>
      <w:r>
        <w:rPr>
          <w:rFonts w:ascii="Century Gothic" w:cs="Calibri" w:hAnsi="Century Gothic"/>
          <w:color w:val="000000"/>
        </w:rPr>
        <w:t xml:space="preserve">, les services </w:t>
      </w:r>
      <w:r>
        <w:rPr>
          <w:rFonts w:ascii="Century Gothic" w:cs="Calibri" w:hAnsi="Century Gothic"/>
          <w:color w:val="000000"/>
        </w:rPr>
        <w:t>de l’agriculture</w:t>
      </w:r>
      <w:r>
        <w:rPr>
          <w:rFonts w:ascii="Century Gothic" w:cs="Calibri" w:hAnsi="Century Gothic"/>
          <w:color w:val="000000"/>
        </w:rPr>
        <w:t xml:space="preserve">, </w:t>
      </w:r>
      <w:r>
        <w:rPr>
          <w:rFonts w:ascii="Century Gothic" w:cs="Calibri" w:hAnsi="Century Gothic"/>
          <w:color w:val="000000"/>
        </w:rPr>
        <w:t>de l’</w:t>
      </w:r>
      <w:r>
        <w:rPr>
          <w:rFonts w:ascii="Century Gothic" w:cs="Calibri" w:hAnsi="Century Gothic"/>
          <w:color w:val="000000"/>
        </w:rPr>
        <w:t xml:space="preserve">environnement, </w:t>
      </w:r>
      <w:r>
        <w:rPr>
          <w:rFonts w:ascii="Century Gothic" w:cs="Calibri" w:hAnsi="Century Gothic"/>
          <w:color w:val="000000"/>
        </w:rPr>
        <w:t>des ressources animales</w:t>
      </w:r>
      <w:r>
        <w:rPr>
          <w:rFonts w:ascii="Century Gothic" w:cs="Calibri" w:hAnsi="Century Gothic"/>
          <w:color w:val="000000"/>
        </w:rPr>
        <w:t xml:space="preserve">, </w:t>
      </w:r>
      <w:r>
        <w:rPr>
          <w:rFonts w:ascii="Century Gothic" w:cs="Calibri" w:hAnsi="Century Gothic"/>
          <w:color w:val="000000"/>
        </w:rPr>
        <w:t xml:space="preserve">les </w:t>
      </w:r>
      <w:r>
        <w:rPr>
          <w:rFonts w:ascii="Century Gothic" w:cs="Calibri" w:hAnsi="Century Gothic"/>
          <w:color w:val="000000"/>
        </w:rPr>
        <w:t>leaders coutumier</w:t>
      </w:r>
      <w:r>
        <w:rPr>
          <w:rFonts w:ascii="Century Gothic" w:cs="Calibri" w:hAnsi="Century Gothic"/>
          <w:color w:val="000000"/>
        </w:rPr>
        <w:t>s</w:t>
      </w:r>
      <w:r>
        <w:rPr>
          <w:rFonts w:ascii="Century Gothic" w:cs="Calibri" w:hAnsi="Century Gothic"/>
          <w:color w:val="000000"/>
        </w:rPr>
        <w:t xml:space="preserve"> et religieux de </w:t>
      </w:r>
      <w:r>
        <w:rPr>
          <w:rFonts w:ascii="Century Gothic" w:cs="Calibri" w:hAnsi="Century Gothic"/>
          <w:color w:val="000000"/>
        </w:rPr>
        <w:t>Kaya</w:t>
      </w:r>
      <w:r>
        <w:rPr>
          <w:rFonts w:ascii="Century Gothic" w:cs="Calibri" w:hAnsi="Century Gothic"/>
          <w:color w:val="000000"/>
        </w:rPr>
        <w:t xml:space="preserve">, </w:t>
      </w:r>
      <w:r>
        <w:rPr>
          <w:rFonts w:ascii="Century Gothic" w:cs="Calibri" w:hAnsi="Century Gothic"/>
          <w:color w:val="000000"/>
        </w:rPr>
        <w:t xml:space="preserve">la </w:t>
      </w:r>
      <w:r>
        <w:rPr>
          <w:rFonts w:ascii="Century Gothic" w:cs="Calibri" w:hAnsi="Century Gothic"/>
          <w:color w:val="000000"/>
        </w:rPr>
        <w:t>préfecture</w:t>
      </w:r>
      <w:r>
        <w:rPr>
          <w:rFonts w:ascii="Century Gothic" w:cs="Calibri" w:hAnsi="Century Gothic"/>
          <w:color w:val="000000"/>
        </w:rPr>
        <w:t xml:space="preserve"> de </w:t>
      </w:r>
      <w:r>
        <w:rPr>
          <w:rFonts w:ascii="Century Gothic" w:cs="Calibri" w:hAnsi="Century Gothic"/>
          <w:color w:val="000000"/>
        </w:rPr>
        <w:t>Tiébélé</w:t>
      </w:r>
      <w:r>
        <w:rPr>
          <w:rFonts w:ascii="Century Gothic" w:cs="Calibri" w:hAnsi="Century Gothic"/>
          <w:color w:val="000000"/>
        </w:rPr>
        <w:t xml:space="preserve"> et</w:t>
      </w:r>
      <w:r>
        <w:rPr>
          <w:rFonts w:ascii="Century Gothic" w:hAnsi="Century Gothic"/>
        </w:rPr>
        <w:t xml:space="preserve"> le consultant</w:t>
      </w:r>
      <w:r>
        <w:rPr>
          <w:rFonts w:ascii="Century Gothic" w:hAnsi="Century Gothic"/>
        </w:rPr>
        <w:t xml:space="preserve">. </w:t>
      </w:r>
      <w:r>
        <w:rPr>
          <w:rFonts w:ascii="Century Gothic" w:hAnsi="Century Gothic"/>
          <w:b/>
        </w:rPr>
        <w:t>L</w:t>
      </w:r>
      <w:r>
        <w:rPr>
          <w:rFonts w:ascii="Century Gothic" w:hAnsi="Century Gothic"/>
          <w:b/>
        </w:rPr>
        <w:t>es</w:t>
      </w:r>
      <w:r>
        <w:rPr>
          <w:rFonts w:ascii="Century Gothic" w:hAnsi="Century Gothic"/>
        </w:rPr>
        <w:t xml:space="preserve"> </w:t>
      </w:r>
      <w:r>
        <w:rPr>
          <w:rFonts w:ascii="Century Gothic" w:hAnsi="Century Gothic"/>
          <w:b/>
        </w:rPr>
        <w:t>moyens financiers</w:t>
      </w:r>
      <w:r>
        <w:rPr>
          <w:rFonts w:ascii="Century Gothic" w:hAnsi="Century Gothic"/>
          <w:b/>
        </w:rPr>
        <w:t xml:space="preserve"> </w:t>
      </w:r>
      <w:r>
        <w:rPr>
          <w:rFonts w:ascii="Century Gothic" w:hAnsi="Century Gothic"/>
        </w:rPr>
        <w:t>sont</w:t>
      </w:r>
      <w:r>
        <w:rPr>
          <w:rFonts w:ascii="Century Gothic" w:hAnsi="Century Gothic"/>
          <w:b/>
        </w:rPr>
        <w:t xml:space="preserve"> </w:t>
      </w:r>
      <w:r>
        <w:rPr>
          <w:rFonts w:ascii="Century Gothic" w:hAnsi="Century Gothic"/>
        </w:rPr>
        <w:t xml:space="preserve">composés des honoraires du consultants, la pause-café et la prise charge des participants </w:t>
      </w:r>
      <w:r>
        <w:rPr>
          <w:rFonts w:ascii="Century Gothic" w:hAnsi="Century Gothic"/>
        </w:rPr>
        <w:t>lors des rencontres</w:t>
      </w:r>
      <w:r>
        <w:rPr>
          <w:rFonts w:ascii="Century Gothic" w:hAnsi="Century Gothic"/>
        </w:rPr>
        <w:t xml:space="preserve">. </w:t>
      </w:r>
      <w:r>
        <w:rPr>
          <w:rFonts w:ascii="Century Gothic" w:hAnsi="Century Gothic"/>
        </w:rPr>
        <w:t xml:space="preserve">Ces ressources seront financées par le budget du </w:t>
      </w:r>
      <w:r>
        <w:rPr>
          <w:rFonts w:ascii="Century Gothic" w:hAnsi="Century Gothic"/>
        </w:rPr>
        <w:t xml:space="preserve">PDIC/REDD+ de </w:t>
      </w:r>
      <w:r>
        <w:rPr>
          <w:rFonts w:ascii="Century Gothic" w:hAnsi="Century Gothic"/>
        </w:rPr>
        <w:t>Tiébélé</w:t>
      </w:r>
      <w:r>
        <w:rPr>
          <w:rFonts w:ascii="Century Gothic" w:hAnsi="Century Gothic"/>
        </w:rPr>
        <w:t xml:space="preserve">. </w:t>
      </w:r>
      <w:r>
        <w:rPr>
          <w:rFonts w:ascii="Century Gothic" w:hAnsi="Century Gothic"/>
        </w:rPr>
        <w:t xml:space="preserve">L’organisation et la gestion de l’activité sera faite par le </w:t>
      </w:r>
      <w:r>
        <w:rPr>
          <w:rFonts w:ascii="Century Gothic" w:hAnsi="Century Gothic"/>
        </w:rPr>
        <w:t>maire</w:t>
      </w:r>
      <w:r>
        <w:rPr>
          <w:rFonts w:ascii="Century Gothic" w:hAnsi="Century Gothic"/>
        </w:rPr>
        <w:t xml:space="preserve"> qui assure le rôle de coordination de l’activité.</w:t>
      </w:r>
    </w:p>
    <w:p>
      <w:pPr>
        <w:pStyle w:val="style0"/>
        <w:tabs>
          <w:tab w:val="left" w:leader="none" w:pos="9214"/>
          <w:tab w:val="left" w:leader="none" w:pos="9639"/>
        </w:tabs>
        <w:jc w:val="both"/>
        <w:rPr>
          <w:rFonts w:ascii="Century Gothic" w:hAnsi="Century Gothic"/>
          <w:b/>
          <w:bCs/>
        </w:rPr>
      </w:pPr>
    </w:p>
    <w:p>
      <w:pPr>
        <w:pStyle w:val="style0"/>
        <w:tabs>
          <w:tab w:val="left" w:leader="none" w:pos="9214"/>
          <w:tab w:val="left" w:leader="none" w:pos="9639"/>
        </w:tabs>
        <w:jc w:val="both"/>
        <w:rPr>
          <w:rFonts w:ascii="Century Gothic" w:hAnsi="Century Gothic"/>
          <w:b/>
          <w:bCs/>
          <w:i/>
          <w:u w:val="single"/>
        </w:rPr>
      </w:pPr>
      <w:r>
        <w:rPr>
          <w:rFonts w:ascii="Century Gothic" w:hAnsi="Century Gothic"/>
          <w:bCs/>
          <w:i/>
          <w:u w:val="single"/>
        </w:rPr>
        <w:t>Sous-Activité</w:t>
      </w:r>
      <w:r>
        <w:rPr>
          <w:rFonts w:ascii="Century Gothic" w:hAnsi="Century Gothic"/>
          <w:b/>
          <w:bCs/>
          <w:i/>
          <w:u w:val="single"/>
        </w:rPr>
        <w:t xml:space="preserve"> </w:t>
      </w:r>
      <w:r>
        <w:rPr>
          <w:rFonts w:ascii="Century Gothic" w:hAnsi="Century Gothic"/>
          <w:i/>
          <w:u w:val="single"/>
        </w:rPr>
        <w:t>4.1.2.1.1.7</w:t>
      </w:r>
      <w:r>
        <w:rPr>
          <w:rFonts w:ascii="Century Gothic" w:hAnsi="Century Gothic"/>
          <w:i/>
          <w:u w:val="single"/>
        </w:rPr>
        <w:t xml:space="preserve">. </w:t>
      </w:r>
      <w:r>
        <w:rPr>
          <w:rFonts w:ascii="Century Gothic" w:hAnsi="Century Gothic"/>
          <w:i/>
          <w:u w:val="single"/>
        </w:rPr>
        <w:t>Appuyer le renouvellement et la formation des instances des commissions foncières villageoises,</w:t>
      </w:r>
    </w:p>
    <w:p>
      <w:pPr>
        <w:pStyle w:val="style0"/>
        <w:tabs>
          <w:tab w:val="left" w:leader="none" w:pos="9214"/>
          <w:tab w:val="left" w:leader="none" w:pos="9639"/>
        </w:tabs>
        <w:jc w:val="both"/>
        <w:rPr>
          <w:rFonts w:ascii="Century Gothic" w:hAnsi="Century Gothic"/>
          <w:i/>
          <w:u w:val="single"/>
        </w:rPr>
      </w:pPr>
    </w:p>
    <w:p>
      <w:pPr>
        <w:pStyle w:val="style0"/>
        <w:tabs>
          <w:tab w:val="left" w:leader="none" w:pos="9214"/>
          <w:tab w:val="left" w:leader="none" w:pos="9639"/>
        </w:tabs>
        <w:jc w:val="both"/>
        <w:rPr>
          <w:rFonts w:ascii="Century Gothic" w:hAnsi="Century Gothic"/>
          <w:i/>
          <w:u w:val="single"/>
        </w:rPr>
      </w:pPr>
      <w:r>
        <w:rPr>
          <w:rFonts w:ascii="Century Gothic" w:hAnsi="Century Gothic"/>
          <w:b/>
          <w:bCs/>
        </w:rPr>
        <w:t>L’objectif de l’activité</w:t>
      </w:r>
      <w:r>
        <w:rPr>
          <w:rFonts w:ascii="Century Gothic" w:hAnsi="Century Gothic"/>
          <w:bCs/>
        </w:rPr>
        <w:t xml:space="preserve"> est de </w:t>
      </w:r>
      <w:r>
        <w:rPr>
          <w:rFonts w:ascii="Century Gothic" w:hAnsi="Century Gothic"/>
          <w:bCs/>
        </w:rPr>
        <w:t xml:space="preserve">renforcer la gouvernance locale des terres rurales et atténuer les conflits fonciers dans les villages. </w:t>
      </w:r>
      <w:r>
        <w:rPr>
          <w:rFonts w:ascii="Century Gothic" w:hAnsi="Century Gothic"/>
          <w:b/>
          <w:bCs/>
        </w:rPr>
        <w:t>La méthode </w:t>
      </w:r>
      <w:r>
        <w:rPr>
          <w:rFonts w:ascii="Century Gothic" w:hAnsi="Century Gothic"/>
          <w:bCs/>
        </w:rPr>
        <w:t xml:space="preserve">reposera sur </w:t>
      </w:r>
      <w:r>
        <w:rPr>
          <w:rFonts w:ascii="Century Gothic" w:hAnsi="Century Gothic"/>
          <w:bCs/>
        </w:rPr>
        <w:t xml:space="preserve">la méthodologie utilisée par les instances communales de mise en place et de renouvellement des instances locales de gestion foncières à savoir les rencontres d’information et de sensibilisation, les assemblées villageoise de renouvèlement. </w:t>
      </w:r>
      <w:r>
        <w:rPr>
          <w:rFonts w:ascii="Century Gothic" w:hAnsi="Century Gothic"/>
          <w:bCs/>
        </w:rPr>
        <w:t>L</w:t>
      </w:r>
      <w:r>
        <w:rPr>
          <w:rFonts w:ascii="Century Gothic" w:hAnsi="Century Gothic"/>
          <w:bCs/>
        </w:rPr>
        <w:t>a conduite du processus sera par l’agent SFR de Tiébélé</w:t>
      </w:r>
      <w:r>
        <w:rPr>
          <w:rFonts w:ascii="Century Gothic" w:hAnsi="Century Gothic"/>
          <w:bCs/>
        </w:rPr>
        <w:t xml:space="preserve"> avec l’appui d</w:t>
      </w:r>
      <w:r>
        <w:rPr>
          <w:rFonts w:ascii="Century Gothic" w:hAnsi="Century Gothic"/>
          <w:bCs/>
        </w:rPr>
        <w:t xml:space="preserve">es </w:t>
      </w:r>
      <w:r>
        <w:rPr>
          <w:rFonts w:ascii="Century Gothic" w:hAnsi="Century Gothic"/>
          <w:bCs/>
        </w:rPr>
        <w:t>service</w:t>
      </w:r>
      <w:r>
        <w:rPr>
          <w:rFonts w:ascii="Century Gothic" w:hAnsi="Century Gothic"/>
          <w:bCs/>
        </w:rPr>
        <w:t>s</w:t>
      </w:r>
      <w:r>
        <w:rPr>
          <w:rFonts w:ascii="Century Gothic" w:hAnsi="Century Gothic"/>
          <w:bCs/>
        </w:rPr>
        <w:t xml:space="preserve"> </w:t>
      </w:r>
      <w:r>
        <w:rPr>
          <w:rFonts w:ascii="Century Gothic" w:hAnsi="Century Gothic"/>
          <w:bCs/>
        </w:rPr>
        <w:t xml:space="preserve">administratifs et techniques déconcentrés </w:t>
      </w:r>
      <w:r>
        <w:rPr>
          <w:rFonts w:ascii="Century Gothic" w:hAnsi="Century Gothic"/>
          <w:bCs/>
        </w:rPr>
        <w:t xml:space="preserve">de Tiébélé. </w:t>
      </w:r>
      <w:r>
        <w:rPr>
          <w:rFonts w:ascii="Century Gothic" w:hAnsi="Century Gothic"/>
          <w:b/>
          <w:bCs/>
        </w:rPr>
        <w:t>Les résultats attendus </w:t>
      </w:r>
      <w:r>
        <w:rPr>
          <w:rFonts w:ascii="Century Gothic" w:hAnsi="Century Gothic"/>
          <w:bCs/>
        </w:rPr>
        <w:t xml:space="preserve">sont que (1) les </w:t>
      </w:r>
      <w:r>
        <w:rPr>
          <w:rFonts w:ascii="Century Gothic" w:hAnsi="Century Gothic"/>
          <w:bCs/>
        </w:rPr>
        <w:t>instances des commissions foncières villageoises sont renouvelées de façon participatives</w:t>
      </w:r>
      <w:r>
        <w:rPr>
          <w:rFonts w:ascii="Century Gothic" w:hAnsi="Century Gothic"/>
          <w:bCs/>
        </w:rPr>
        <w:t xml:space="preserve">. </w:t>
      </w:r>
      <w:r>
        <w:rPr>
          <w:rFonts w:ascii="Century Gothic" w:hAnsi="Century Gothic"/>
          <w:b/>
        </w:rPr>
        <w:t>Les moyens physiques</w:t>
      </w:r>
      <w:r>
        <w:rPr>
          <w:rFonts w:ascii="Century Gothic" w:hAnsi="Century Gothic"/>
        </w:rPr>
        <w:t xml:space="preserve"> se résumeront en documents papiers (fournitures) et </w:t>
      </w:r>
      <w:r>
        <w:rPr>
          <w:rFonts w:ascii="Century Gothic" w:hAnsi="Century Gothic"/>
          <w:b/>
        </w:rPr>
        <w:t>moyens humains</w:t>
      </w:r>
      <w:r>
        <w:rPr>
          <w:rFonts w:ascii="Century Gothic" w:hAnsi="Century Gothic"/>
        </w:rPr>
        <w:t xml:space="preserve"> constitués de l’expertise </w:t>
      </w:r>
      <w:r>
        <w:rPr>
          <w:rFonts w:ascii="Century Gothic" w:hAnsi="Century Gothic"/>
          <w:bCs/>
        </w:rPr>
        <w:t>l’agent SFR de Tiébélé</w:t>
      </w:r>
      <w:r>
        <w:rPr>
          <w:rFonts w:ascii="Century Gothic" w:hAnsi="Century Gothic"/>
          <w:bCs/>
        </w:rPr>
        <w:t xml:space="preserve"> et des services déconcentrés</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constitués de frais de prise en charge </w:t>
      </w:r>
      <w:r>
        <w:rPr>
          <w:rFonts w:ascii="Century Gothic" w:hAnsi="Century Gothic"/>
        </w:rPr>
        <w:t>des participants et les frais de déplacement dans les villages</w:t>
      </w:r>
      <w:r>
        <w:rPr>
          <w:rFonts w:ascii="Century Gothic" w:hAnsi="Century Gothic"/>
        </w:rPr>
        <w:t xml:space="preserve">. Ces ressources seront financées par le budget du PDIC/REDD+ de Tiébélé. L’organisation et la gestion de l’activité sera faite par le maire qui assure le rôle de coordination de l’activité en collaboration avec le </w:t>
      </w:r>
      <w:r>
        <w:rPr>
          <w:rFonts w:ascii="Century Gothic" w:hAnsi="Century Gothic"/>
        </w:rPr>
        <w:t>service foncier et les CVD des villages.</w:t>
      </w:r>
    </w:p>
    <w:p>
      <w:pPr>
        <w:pStyle w:val="style0"/>
        <w:tabs>
          <w:tab w:val="left" w:leader="none" w:pos="9214"/>
          <w:tab w:val="left" w:leader="none" w:pos="9639"/>
        </w:tabs>
        <w:jc w:val="both"/>
        <w:rPr>
          <w:rFonts w:ascii="Century Gothic" w:hAnsi="Century Gothic"/>
          <w:i/>
          <w:u w:val="single"/>
        </w:rPr>
      </w:pPr>
    </w:p>
    <w:p>
      <w:pPr>
        <w:pStyle w:val="style0"/>
        <w:tabs>
          <w:tab w:val="left" w:leader="none" w:pos="9214"/>
          <w:tab w:val="left" w:leader="none" w:pos="9639"/>
        </w:tabs>
        <w:jc w:val="both"/>
        <w:rPr>
          <w:rFonts w:ascii="Century Gothic" w:hAnsi="Century Gothic"/>
          <w:i/>
          <w:u w:val="single"/>
        </w:rPr>
      </w:pPr>
      <w:r>
        <w:rPr>
          <w:rFonts w:ascii="Century Gothic" w:hAnsi="Century Gothic"/>
          <w:i/>
          <w:u w:val="single"/>
        </w:rPr>
        <w:t>Sous-Activité 4.1.2.1.1.</w:t>
      </w:r>
      <w:r>
        <w:rPr>
          <w:rFonts w:ascii="Century Gothic" w:hAnsi="Century Gothic"/>
          <w:i/>
          <w:u w:val="single"/>
        </w:rPr>
        <w:t>8</w:t>
      </w:r>
      <w:r>
        <w:rPr>
          <w:rFonts w:ascii="Century Gothic" w:hAnsi="Century Gothic"/>
          <w:i/>
          <w:u w:val="single"/>
        </w:rPr>
        <w:t xml:space="preserve">. Réaliser </w:t>
      </w:r>
      <w:r>
        <w:rPr>
          <w:rFonts w:ascii="Century Gothic" w:hAnsi="Century Gothic"/>
          <w:i/>
          <w:u w:val="single"/>
        </w:rPr>
        <w:t xml:space="preserve">le bornage de la forêt </w:t>
      </w:r>
      <w:r>
        <w:rPr>
          <w:rFonts w:ascii="Century Gothic" w:hAnsi="Century Gothic"/>
          <w:i/>
          <w:u w:val="single"/>
        </w:rPr>
        <w:t xml:space="preserve">villageoise de </w:t>
      </w:r>
      <w:r>
        <w:rPr>
          <w:rFonts w:ascii="Century Gothic" w:hAnsi="Century Gothic"/>
          <w:i/>
          <w:u w:val="single"/>
        </w:rPr>
        <w:t>Kaya</w:t>
      </w:r>
    </w:p>
    <w:p>
      <w:pPr>
        <w:pStyle w:val="style0"/>
        <w:tabs>
          <w:tab w:val="left" w:leader="none" w:pos="9214"/>
          <w:tab w:val="left" w:leader="none" w:pos="9639"/>
        </w:tabs>
        <w:jc w:val="both"/>
        <w:rPr>
          <w:rFonts w:ascii="Century Gothic" w:hAnsi="Century Gothic"/>
          <w:i/>
          <w:u w:val="single"/>
        </w:rPr>
      </w:pPr>
    </w:p>
    <w:p>
      <w:pPr>
        <w:pStyle w:val="style0"/>
        <w:tabs>
          <w:tab w:val="left" w:leader="none" w:pos="9214"/>
          <w:tab w:val="left" w:leader="none" w:pos="9639"/>
        </w:tabs>
        <w:jc w:val="both"/>
        <w:rPr>
          <w:rFonts w:ascii="Century Gothic" w:hAnsi="Century Gothic"/>
        </w:rPr>
      </w:pPr>
      <w:r>
        <w:rPr>
          <w:rFonts w:ascii="Century Gothic" w:hAnsi="Century Gothic"/>
          <w:b/>
        </w:rPr>
        <w:t>L’o</w:t>
      </w:r>
      <w:r>
        <w:rPr>
          <w:rFonts w:ascii="Century Gothic" w:hAnsi="Century Gothic"/>
          <w:b/>
        </w:rPr>
        <w:t>bjectif</w:t>
      </w:r>
      <w:r>
        <w:rPr>
          <w:rFonts w:ascii="Century Gothic" w:hAnsi="Century Gothic"/>
          <w:b/>
          <w:i/>
        </w:rPr>
        <w:t> :</w:t>
      </w:r>
      <w:r>
        <w:rPr>
          <w:rFonts w:ascii="Century Gothic" w:hAnsi="Century Gothic"/>
        </w:rPr>
        <w:t xml:space="preserve"> sécuriser l’intég</w:t>
      </w:r>
      <w:r>
        <w:rPr>
          <w:rFonts w:ascii="Century Gothic" w:hAnsi="Century Gothic"/>
        </w:rPr>
        <w:t xml:space="preserve">rité physique de la forêt </w:t>
      </w:r>
      <w:r>
        <w:rPr>
          <w:rFonts w:ascii="Century Gothic" w:hAnsi="Century Gothic"/>
        </w:rPr>
        <w:t xml:space="preserve">villageoise de </w:t>
      </w:r>
      <w:r>
        <w:rPr>
          <w:rFonts w:ascii="Century Gothic" w:hAnsi="Century Gothic"/>
        </w:rPr>
        <w:t>Kaya</w:t>
      </w:r>
      <w:r>
        <w:rPr>
          <w:rFonts w:ascii="Century Gothic" w:hAnsi="Century Gothic"/>
        </w:rPr>
        <w:t xml:space="preserve">.  </w:t>
      </w:r>
      <w:r>
        <w:rPr>
          <w:rFonts w:ascii="Century Gothic" w:hAnsi="Century Gothic"/>
          <w:b/>
        </w:rPr>
        <w:t>La</w:t>
      </w:r>
      <w:r>
        <w:rPr>
          <w:rFonts w:ascii="Century Gothic" w:hAnsi="Century Gothic"/>
        </w:rPr>
        <w:t xml:space="preserve"> </w:t>
      </w:r>
      <w:r>
        <w:rPr>
          <w:rFonts w:ascii="Century Gothic" w:hAnsi="Century Gothic"/>
          <w:b/>
        </w:rPr>
        <w:t>méthode</w:t>
      </w:r>
      <w:r>
        <w:rPr>
          <w:rFonts w:ascii="Century Gothic" w:hAnsi="Century Gothic"/>
        </w:rPr>
        <w:t xml:space="preserve"> va reposer sur la confection et la pose de bornes </w:t>
      </w:r>
      <w:r>
        <w:rPr>
          <w:rFonts w:ascii="Century Gothic" w:hAnsi="Century Gothic"/>
        </w:rPr>
        <w:t xml:space="preserve">de </w:t>
      </w:r>
      <w:r>
        <w:rPr>
          <w:rFonts w:ascii="Century Gothic" w:hAnsi="Century Gothic"/>
        </w:rPr>
        <w:t>(</w:t>
      </w:r>
      <w:r>
        <w:rPr>
          <w:rFonts w:ascii="Century Gothic" w:hAnsi="Century Gothic"/>
        </w:rPr>
        <w:t>20cm/20</w:t>
      </w:r>
      <w:r>
        <w:rPr>
          <w:rFonts w:ascii="Century Gothic" w:hAnsi="Century Gothic"/>
        </w:rPr>
        <w:t>cm</w:t>
      </w:r>
      <w:r>
        <w:rPr>
          <w:rFonts w:ascii="Century Gothic" w:hAnsi="Century Gothic"/>
        </w:rPr>
        <w:t xml:space="preserve"> de base) </w:t>
      </w:r>
      <w:r>
        <w:rPr>
          <w:rFonts w:ascii="Century Gothic" w:hAnsi="Century Gothic"/>
        </w:rPr>
        <w:t>sur l</w:t>
      </w:r>
      <w:r>
        <w:rPr>
          <w:rFonts w:ascii="Century Gothic" w:hAnsi="Century Gothic"/>
        </w:rPr>
        <w:t xml:space="preserve">es </w:t>
      </w:r>
      <w:r>
        <w:rPr>
          <w:rFonts w:ascii="Century Gothic" w:hAnsi="Century Gothic"/>
        </w:rPr>
        <w:t xml:space="preserve"> limites</w:t>
      </w:r>
      <w:r>
        <w:rPr>
          <w:rFonts w:ascii="Century Gothic" w:hAnsi="Century Gothic"/>
        </w:rPr>
        <w:t xml:space="preserve"> </w:t>
      </w:r>
      <w:r>
        <w:rPr>
          <w:rFonts w:ascii="Century Gothic" w:hAnsi="Century Gothic"/>
        </w:rPr>
        <w:t>de la forêt</w:t>
      </w:r>
      <w:r>
        <w:rPr>
          <w:rFonts w:ascii="Century Gothic" w:hAnsi="Century Gothic"/>
        </w:rPr>
        <w:t xml:space="preserve">. </w:t>
      </w:r>
      <w:r>
        <w:rPr>
          <w:rFonts w:ascii="Century Gothic" w:hAnsi="Century Gothic"/>
        </w:rPr>
        <w:t xml:space="preserve">Au </w:t>
      </w:r>
      <w:r>
        <w:rPr>
          <w:rFonts w:ascii="Century Gothic" w:hAnsi="Century Gothic"/>
        </w:rPr>
        <w:t xml:space="preserve">total de </w:t>
      </w:r>
      <w:r>
        <w:rPr>
          <w:rFonts w:ascii="Century Gothic" w:hAnsi="Century Gothic"/>
        </w:rPr>
        <w:t>31</w:t>
      </w:r>
      <w:r>
        <w:rPr>
          <w:rFonts w:ascii="Century Gothic" w:hAnsi="Century Gothic"/>
        </w:rPr>
        <w:t xml:space="preserve"> bornes</w:t>
      </w:r>
      <w:r>
        <w:rPr>
          <w:rFonts w:ascii="Century Gothic" w:hAnsi="Century Gothic"/>
        </w:rPr>
        <w:t xml:space="preserve"> </w:t>
      </w:r>
      <w:r>
        <w:rPr>
          <w:rFonts w:ascii="Century Gothic" w:hAnsi="Century Gothic"/>
        </w:rPr>
        <w:t>seront confectionnées et fixées et</w:t>
      </w:r>
      <w:r>
        <w:rPr>
          <w:rFonts w:ascii="Century Gothic" w:hAnsi="Century Gothic"/>
        </w:rPr>
        <w:t xml:space="preserve"> occuperont une superficie </w:t>
      </w:r>
      <w:r>
        <w:rPr>
          <w:rFonts w:ascii="Century Gothic" w:hAnsi="Century Gothic"/>
        </w:rPr>
        <w:t xml:space="preserve">de </w:t>
      </w:r>
      <w:r>
        <w:rPr>
          <w:rFonts w:ascii="Century Gothic" w:hAnsi="Century Gothic"/>
        </w:rPr>
        <w:t xml:space="preserve">12 400 </w:t>
      </w:r>
      <w:r>
        <w:rPr>
          <w:rFonts w:ascii="Century Gothic" w:hAnsi="Century Gothic"/>
        </w:rPr>
        <w:t xml:space="preserve">cm² </w:t>
      </w:r>
      <w:r>
        <w:rPr>
          <w:rFonts w:ascii="Century Gothic" w:hAnsi="Century Gothic"/>
        </w:rPr>
        <w:t>(</w:t>
      </w:r>
      <w:r>
        <w:rPr>
          <w:rFonts w:ascii="Century Gothic" w:hAnsi="Century Gothic"/>
        </w:rPr>
        <w:t>1,24</w:t>
      </w:r>
      <w:r>
        <w:rPr>
          <w:rFonts w:ascii="Century Gothic" w:hAnsi="Century Gothic"/>
        </w:rPr>
        <w:t xml:space="preserve"> </w:t>
      </w:r>
      <w:r>
        <w:rPr>
          <w:rFonts w:ascii="Century Gothic" w:hAnsi="Century Gothic"/>
        </w:rPr>
        <w:t xml:space="preserve">m²) </w:t>
      </w:r>
      <w:r>
        <w:rPr>
          <w:rFonts w:ascii="Century Gothic" w:hAnsi="Century Gothic"/>
        </w:rPr>
        <w:t>de surface</w:t>
      </w:r>
      <w:r>
        <w:rPr>
          <w:rFonts w:ascii="Century Gothic" w:hAnsi="Century Gothic"/>
        </w:rPr>
        <w:t xml:space="preserve">. Le projet va faire recours à un prestataire pour la réalisation de l’activité. </w:t>
      </w:r>
      <w:r>
        <w:rPr>
          <w:rFonts w:ascii="Century Gothic" w:hAnsi="Century Gothic"/>
          <w:b/>
        </w:rPr>
        <w:t>Le résultat</w:t>
      </w:r>
      <w:r>
        <w:rPr>
          <w:rFonts w:ascii="Century Gothic" w:hAnsi="Century Gothic"/>
        </w:rPr>
        <w:t xml:space="preserve"> </w:t>
      </w:r>
      <w:r>
        <w:rPr>
          <w:rFonts w:ascii="Century Gothic" w:hAnsi="Century Gothic"/>
          <w:b/>
        </w:rPr>
        <w:t>attendu</w:t>
      </w:r>
      <w:r>
        <w:rPr>
          <w:rFonts w:ascii="Century Gothic" w:hAnsi="Century Gothic"/>
        </w:rPr>
        <w:t xml:space="preserve"> est que les limites de la forêt de </w:t>
      </w:r>
      <w:r>
        <w:rPr>
          <w:rFonts w:ascii="Century Gothic" w:hAnsi="Century Gothic"/>
        </w:rPr>
        <w:t>Kaya</w:t>
      </w:r>
      <w:r>
        <w:rPr>
          <w:rFonts w:ascii="Century Gothic" w:hAnsi="Century Gothic"/>
        </w:rPr>
        <w:t xml:space="preserve"> sont matérialisées avec des bornes.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w:t>
      </w:r>
      <w:r>
        <w:rPr>
          <w:rFonts w:ascii="Century Gothic" w:hAnsi="Century Gothic"/>
        </w:rPr>
        <w:t xml:space="preserve">seront </w:t>
      </w:r>
      <w:r>
        <w:rPr>
          <w:rFonts w:ascii="Century Gothic" w:hAnsi="Century Gothic"/>
        </w:rPr>
        <w:t xml:space="preserve">constitués de l’expertise technique du prestataire et le suivi contrôle de qualité </w:t>
      </w:r>
      <w:r>
        <w:rPr>
          <w:rFonts w:ascii="Century Gothic" w:hAnsi="Century Gothic"/>
        </w:rPr>
        <w:t>du</w:t>
      </w:r>
      <w:r>
        <w:rPr>
          <w:rFonts w:ascii="Century Gothic" w:hAnsi="Century Gothic"/>
        </w:rPr>
        <w:t xml:space="preserve"> service forestier. </w:t>
      </w:r>
      <w:r>
        <w:rPr>
          <w:rFonts w:ascii="Century Gothic" w:hAnsi="Century Gothic"/>
          <w:b/>
        </w:rPr>
        <w:t>Les moyens financiers</w:t>
      </w:r>
      <w:r>
        <w:rPr>
          <w:rFonts w:ascii="Century Gothic" w:hAnsi="Century Gothic"/>
        </w:rPr>
        <w:t xml:space="preserve"> seront </w:t>
      </w:r>
      <w:r>
        <w:rPr>
          <w:rFonts w:ascii="Century Gothic" w:hAnsi="Century Gothic"/>
        </w:rPr>
        <w:t xml:space="preserve">les </w:t>
      </w:r>
      <w:r>
        <w:rPr>
          <w:rFonts w:ascii="Century Gothic" w:hAnsi="Century Gothic"/>
        </w:rPr>
        <w:t>frais</w:t>
      </w:r>
      <w:r>
        <w:rPr>
          <w:rFonts w:ascii="Century Gothic" w:hAnsi="Century Gothic"/>
        </w:rPr>
        <w:t xml:space="preserve"> du prestataire et de prise en charge d</w:t>
      </w:r>
      <w:r>
        <w:rPr>
          <w:rFonts w:ascii="Century Gothic" w:hAnsi="Century Gothic"/>
        </w:rPr>
        <w:t>u service forestier</w:t>
      </w:r>
      <w:r>
        <w:rPr>
          <w:rFonts w:ascii="Century Gothic" w:hAnsi="Century Gothic"/>
        </w:rPr>
        <w:t xml:space="preserve">. Ces ressources seront financées par le </w:t>
      </w:r>
      <w:r>
        <w:rPr>
          <w:rFonts w:ascii="Century Gothic" w:hAnsi="Century Gothic"/>
        </w:rPr>
        <w:t xml:space="preserve">budget du </w:t>
      </w:r>
      <w:r>
        <w:rPr>
          <w:rFonts w:ascii="Century Gothic" w:hAnsi="Century Gothic"/>
        </w:rPr>
        <w:t xml:space="preserve">PDIC/REDD+ de </w:t>
      </w:r>
      <w:r>
        <w:rPr>
          <w:rFonts w:ascii="Century Gothic" w:hAnsi="Century Gothic"/>
        </w:rPr>
        <w:t>Tiébélé</w:t>
      </w:r>
      <w:r>
        <w:rPr>
          <w:rFonts w:ascii="Century Gothic" w:hAnsi="Century Gothic"/>
        </w:rPr>
        <w:t xml:space="preserve">. </w:t>
      </w:r>
      <w:r>
        <w:rPr>
          <w:rFonts w:ascii="Century Gothic" w:hAnsi="Century Gothic"/>
        </w:rPr>
        <w:t xml:space="preserve">L’organisation et la gestion de l’activité sera faite par la commune qui assure le rôle de coordination et prendra contact avec le prestataire sélectionné.  </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
        </w:rPr>
      </w:pPr>
      <w:r>
        <w:rPr>
          <w:rFonts w:ascii="Century Gothic" w:hAnsi="Century Gothic"/>
          <w:i/>
          <w:u w:val="single"/>
        </w:rPr>
        <w:t>Sous-Activité 4.1.2.1.1.</w:t>
      </w:r>
      <w:r>
        <w:rPr>
          <w:rFonts w:ascii="Century Gothic" w:hAnsi="Century Gothic"/>
          <w:i/>
          <w:u w:val="single"/>
        </w:rPr>
        <w:t>9</w:t>
      </w:r>
      <w:r>
        <w:rPr>
          <w:rFonts w:ascii="Century Gothic" w:hAnsi="Century Gothic"/>
          <w:i/>
          <w:u w:val="single"/>
        </w:rPr>
        <w:t xml:space="preserve">. </w:t>
      </w:r>
      <w:r>
        <w:rPr>
          <w:rFonts w:ascii="Century Gothic" w:cs="Arial" w:hAnsi="Century Gothic"/>
          <w:i/>
          <w:u w:val="single"/>
        </w:rPr>
        <w:t xml:space="preserve">Confectionner et fixer cinq (5) panneaux d'information et de sensibilisation sur la forêt de </w:t>
      </w:r>
      <w:r>
        <w:rPr>
          <w:rFonts w:ascii="Century Gothic" w:cs="Arial" w:hAnsi="Century Gothic"/>
          <w:i/>
          <w:u w:val="single"/>
        </w:rPr>
        <w:t>Kaya</w:t>
      </w:r>
      <w:r>
        <w:rPr>
          <w:rFonts w:ascii="Century Gothic" w:hAnsi="Century Gothic"/>
          <w:b/>
        </w:rPr>
        <w:t xml:space="preserve"> </w:t>
      </w: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rPr>
      </w:pPr>
      <w:r>
        <w:rPr>
          <w:rFonts w:ascii="Century Gothic" w:hAnsi="Century Gothic"/>
          <w:b/>
        </w:rPr>
        <w:t>L’objectif</w:t>
      </w:r>
      <w:r>
        <w:rPr>
          <w:rFonts w:ascii="Century Gothic" w:hAnsi="Century Gothic"/>
        </w:rPr>
        <w:t xml:space="preserve"> de cette activité est de renforcer la sécurisation et la visibilité de forêt villageoise de </w:t>
      </w:r>
      <w:r>
        <w:rPr>
          <w:rFonts w:ascii="Century Gothic" w:hAnsi="Century Gothic"/>
        </w:rPr>
        <w:t>Kaya</w:t>
      </w:r>
      <w:r>
        <w:rPr>
          <w:rFonts w:ascii="Century Gothic" w:cs="Arial" w:hAnsi="Century Gothic"/>
          <w:iCs/>
        </w:rPr>
        <w:t xml:space="preserve">. Cette activité vient renforcer l’activité de </w:t>
      </w:r>
      <w:r>
        <w:rPr>
          <w:rFonts w:ascii="Century Gothic" w:hAnsi="Century Gothic"/>
          <w:iCs/>
        </w:rPr>
        <w:t xml:space="preserve"> bornage et des plantations de délimitation. </w:t>
      </w:r>
      <w:r>
        <w:rPr>
          <w:rFonts w:ascii="Century Gothic" w:hAnsi="Century Gothic"/>
          <w:b/>
          <w:bCs/>
          <w:iCs/>
        </w:rPr>
        <w:t xml:space="preserve">La méthode </w:t>
      </w:r>
      <w:r>
        <w:rPr>
          <w:rFonts w:ascii="Century Gothic" w:hAnsi="Century Gothic"/>
          <w:bCs/>
          <w:iCs/>
        </w:rPr>
        <w:t>va reposer sur la conception des messages et leur</w:t>
      </w:r>
      <w:r>
        <w:rPr>
          <w:rFonts w:ascii="Century Gothic" w:hAnsi="Century Gothic"/>
          <w:bCs/>
        </w:rPr>
        <w:t xml:space="preserve"> validation par la commune, l’identification d’un prestataire pour la confection des panneaux</w:t>
      </w:r>
      <w:r>
        <w:rPr>
          <w:rFonts w:ascii="Century Gothic" w:hAnsi="Century Gothic"/>
          <w:bCs/>
        </w:rPr>
        <w:t xml:space="preserve"> </w:t>
      </w:r>
      <w:r>
        <w:rPr>
          <w:rFonts w:ascii="Century Gothic" w:hAnsi="Century Gothic"/>
          <w:bCs/>
        </w:rPr>
        <w:t>et enfin leur fixation qui se feront avec l’appui du CDV du village</w:t>
      </w:r>
      <w:r>
        <w:rPr>
          <w:rFonts w:ascii="Century Gothic" w:hAnsi="Century Gothic"/>
        </w:rPr>
        <w:t xml:space="preserve">. </w:t>
      </w:r>
      <w:r>
        <w:rPr>
          <w:rFonts w:ascii="Century Gothic" w:hAnsi="Century Gothic"/>
          <w:b/>
        </w:rPr>
        <w:t xml:space="preserve">Le résultat attendu </w:t>
      </w:r>
      <w:r>
        <w:rPr>
          <w:rFonts w:ascii="Century Gothic" w:hAnsi="Century Gothic"/>
        </w:rPr>
        <w:t xml:space="preserve">est que la visibilité de la forêt est renforcée et les types d’utilisation et d’interdiction sont connus. </w:t>
      </w:r>
      <w:r>
        <w:rPr>
          <w:rFonts w:ascii="Century Gothic" w:hAnsi="Century Gothic"/>
          <w:b/>
        </w:rPr>
        <w:t>Les moyens matériels</w:t>
      </w:r>
      <w:r>
        <w:rPr>
          <w:rFonts w:ascii="Century Gothic" w:hAnsi="Century Gothic"/>
        </w:rPr>
        <w:t xml:space="preserve"> seront constitués de panneaux, de sable et ciment pour la fixation. Les trous de fixation seront 225 cm² (15cm/15</w:t>
      </w:r>
      <w:r>
        <w:rPr>
          <w:rFonts w:ascii="Century Gothic" w:hAnsi="Century Gothic"/>
        </w:rPr>
        <w:t>cm</w:t>
      </w:r>
      <w:r>
        <w:rPr>
          <w:rFonts w:ascii="Century Gothic" w:hAnsi="Century Gothic"/>
        </w:rPr>
        <w:t>) par pied de panneau soit un total de 450</w:t>
      </w:r>
      <w:r>
        <w:rPr>
          <w:rFonts w:ascii="Century Gothic" w:hAnsi="Century Gothic"/>
        </w:rPr>
        <w:t xml:space="preserve"> </w:t>
      </w:r>
      <w:r>
        <w:rPr>
          <w:rFonts w:ascii="Century Gothic" w:hAnsi="Century Gothic"/>
        </w:rPr>
        <w:t>cm² par panneau. Ce qui donne un total pour les cinq panneaux de 2</w:t>
      </w:r>
      <w:r>
        <w:rPr>
          <w:rFonts w:ascii="Century Gothic" w:hAnsi="Century Gothic"/>
        </w:rPr>
        <w:t> </w:t>
      </w:r>
      <w:r>
        <w:rPr>
          <w:rFonts w:ascii="Century Gothic" w:hAnsi="Century Gothic"/>
        </w:rPr>
        <w:t>250</w:t>
      </w:r>
      <w:r>
        <w:rPr>
          <w:rFonts w:ascii="Century Gothic" w:hAnsi="Century Gothic"/>
        </w:rPr>
        <w:t xml:space="preserve"> </w:t>
      </w:r>
      <w:r>
        <w:rPr>
          <w:rFonts w:ascii="Century Gothic" w:hAnsi="Century Gothic"/>
        </w:rPr>
        <w:t>cm² (</w:t>
      </w:r>
      <w:r>
        <w:rPr>
          <w:rFonts w:ascii="Century Gothic" w:hAnsi="Century Gothic"/>
        </w:rPr>
        <w:t>0,225</w:t>
      </w:r>
      <w:r>
        <w:rPr>
          <w:rFonts w:ascii="Century Gothic" w:hAnsi="Century Gothic"/>
        </w:rPr>
        <w:t xml:space="preserve"> </w:t>
      </w:r>
      <w:r>
        <w:rPr>
          <w:rFonts w:ascii="Century Gothic" w:hAnsi="Century Gothic"/>
        </w:rPr>
        <w:t>m²)</w:t>
      </w:r>
      <w:r>
        <w:rPr>
          <w:rFonts w:ascii="Century Gothic" w:hAnsi="Century Gothic"/>
        </w:rPr>
        <w:t xml:space="preserve"> de surface</w:t>
      </w:r>
      <w:r>
        <w:rPr>
          <w:rFonts w:ascii="Century Gothic" w:hAnsi="Century Gothic"/>
        </w:rPr>
        <w:t xml:space="preserve">. </w:t>
      </w:r>
      <w:r>
        <w:rPr>
          <w:rFonts w:ascii="Century Gothic" w:hAnsi="Century Gothic"/>
          <w:b/>
        </w:rPr>
        <w:t>Les</w:t>
      </w:r>
      <w:r>
        <w:rPr>
          <w:rFonts w:ascii="Century Gothic" w:hAnsi="Century Gothic"/>
        </w:rPr>
        <w:t xml:space="preserve"> </w:t>
      </w:r>
      <w:r>
        <w:rPr>
          <w:rFonts w:ascii="Century Gothic" w:hAnsi="Century Gothic"/>
          <w:b/>
        </w:rPr>
        <w:t xml:space="preserve">moyens humains </w:t>
      </w:r>
      <w:r>
        <w:rPr>
          <w:rFonts w:ascii="Century Gothic" w:hAnsi="Century Gothic"/>
        </w:rPr>
        <w:t xml:space="preserve">seront constitués de prestataire pour la confection des panneaux et de main d’œuvre locale pour la fixation. </w:t>
      </w:r>
      <w:r>
        <w:rPr>
          <w:rFonts w:ascii="Century Gothic" w:hAnsi="Century Gothic"/>
          <w:b/>
        </w:rPr>
        <w:t>Les moyens financiers</w:t>
      </w:r>
      <w:r>
        <w:rPr>
          <w:rFonts w:ascii="Century Gothic" w:hAnsi="Century Gothic"/>
        </w:rPr>
        <w:t xml:space="preserve"> seront constitués de frais de confection et de fixation. Ces ressources seront financées par le budget du PDIC/REDD+ de </w:t>
      </w:r>
      <w:r>
        <w:rPr>
          <w:rFonts w:ascii="Century Gothic" w:hAnsi="Century Gothic"/>
        </w:rPr>
        <w:t>Tiébélé</w:t>
      </w:r>
      <w:r>
        <w:rPr>
          <w:rFonts w:ascii="Century Gothic" w:hAnsi="Century Gothic"/>
        </w:rPr>
        <w:t xml:space="preserve">. L’organisation et la gestion de l’activité sera faite par la commune qui assure le rôle de coordination et prendra contact avec le prestataire sélectionné et le comité de gestion de la forêt. </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Cs/>
        </w:rPr>
      </w:pPr>
    </w:p>
    <w:bookmarkStart w:id="26" w:name="_Toc82046076"/>
    <w:p>
      <w:pPr>
        <w:pStyle w:val="style3"/>
        <w:numPr>
          <w:ilvl w:val="0"/>
          <w:numId w:val="0"/>
        </w:numPr>
        <w:tabs>
          <w:tab w:val="left" w:leader="none" w:pos="9214"/>
          <w:tab w:val="left" w:leader="none" w:pos="9639"/>
        </w:tabs>
        <w:rPr>
          <w:rFonts w:ascii="Century Gothic" w:hAnsi="Century Gothic"/>
          <w:szCs w:val="24"/>
        </w:rPr>
      </w:pPr>
      <w:r>
        <w:rPr>
          <w:rFonts w:ascii="Century Gothic" w:hAnsi="Century Gothic"/>
          <w:szCs w:val="24"/>
        </w:rPr>
        <w:t>4.1.2.</w:t>
      </w:r>
      <w:r>
        <w:rPr>
          <w:rFonts w:ascii="Century Gothic" w:hAnsi="Century Gothic"/>
          <w:szCs w:val="24"/>
        </w:rPr>
        <w:t>2</w:t>
      </w:r>
      <w:r>
        <w:rPr>
          <w:rFonts w:ascii="Century Gothic" w:hAnsi="Century Gothic"/>
          <w:szCs w:val="24"/>
        </w:rPr>
        <w:t xml:space="preserve"> </w:t>
      </w:r>
      <w:r>
        <w:rPr>
          <w:rFonts w:ascii="Century Gothic" w:hAnsi="Century Gothic"/>
          <w:szCs w:val="24"/>
        </w:rPr>
        <w:t xml:space="preserve">Activités induites </w:t>
      </w:r>
      <w:r>
        <w:rPr>
          <w:rFonts w:ascii="Century Gothic" w:hAnsi="Century Gothic"/>
          <w:szCs w:val="24"/>
        </w:rPr>
        <w:t xml:space="preserve">d’amélioration des productivités et des revenus </w:t>
      </w:r>
      <w:r>
        <w:rPr>
          <w:rFonts w:ascii="Century Gothic" w:hAnsi="Century Gothic"/>
          <w:szCs w:val="24"/>
        </w:rPr>
        <w:t>dans</w:t>
      </w:r>
      <w:r>
        <w:rPr>
          <w:rFonts w:ascii="Century Gothic" w:hAnsi="Century Gothic"/>
          <w:szCs w:val="24"/>
        </w:rPr>
        <w:t xml:space="preserve"> l</w:t>
      </w:r>
      <w:r>
        <w:rPr>
          <w:rFonts w:ascii="Century Gothic" w:hAnsi="Century Gothic"/>
          <w:szCs w:val="24"/>
        </w:rPr>
        <w:t xml:space="preserve">’espace de conservation </w:t>
      </w:r>
      <w:r>
        <w:rPr>
          <w:rFonts w:ascii="Century Gothic" w:hAnsi="Century Gothic"/>
          <w:szCs w:val="24"/>
        </w:rPr>
        <w:t xml:space="preserve">de </w:t>
      </w:r>
      <w:r>
        <w:rPr>
          <w:rFonts w:ascii="Century Gothic" w:hAnsi="Century Gothic"/>
          <w:szCs w:val="24"/>
        </w:rPr>
        <w:t>Kaya</w:t>
      </w:r>
      <w:bookmarkEnd w:id="26"/>
    </w:p>
    <w:p>
      <w:pPr>
        <w:pStyle w:val="style0"/>
        <w:tabs>
          <w:tab w:val="left" w:leader="none" w:pos="9214"/>
          <w:tab w:val="left" w:leader="none" w:pos="9639"/>
        </w:tabs>
        <w:jc w:val="both"/>
        <w:rPr>
          <w:rFonts w:ascii="Century Gothic" w:hAnsi="Century Gothic"/>
          <w:b/>
          <w:bCs/>
          <w:i/>
        </w:rPr>
      </w:pPr>
    </w:p>
    <w:p>
      <w:pPr>
        <w:pStyle w:val="style0"/>
        <w:tabs>
          <w:tab w:val="left" w:leader="none" w:pos="9214"/>
          <w:tab w:val="left" w:leader="none" w:pos="9639"/>
        </w:tabs>
        <w:jc w:val="both"/>
        <w:rPr>
          <w:rFonts w:ascii="Century Gothic" w:hAnsi="Century Gothic"/>
          <w:i/>
          <w:spacing w:val="-1"/>
          <w:u w:val="single"/>
        </w:rPr>
      </w:pPr>
      <w:r>
        <w:rPr>
          <w:rFonts w:ascii="Century Gothic" w:hAnsi="Century Gothic"/>
          <w:bCs/>
          <w:i/>
          <w:u w:val="single"/>
        </w:rPr>
        <w:t>Activité</w:t>
      </w:r>
      <w:r>
        <w:rPr>
          <w:rFonts w:ascii="Century Gothic" w:hAnsi="Century Gothic"/>
          <w:bCs/>
          <w:i/>
          <w:u w:val="single"/>
        </w:rPr>
        <w:t xml:space="preserve"> </w:t>
      </w:r>
      <w:r>
        <w:rPr>
          <w:rFonts w:ascii="Century Gothic" w:hAnsi="Century Gothic"/>
          <w:i/>
          <w:u w:val="single"/>
        </w:rPr>
        <w:t>4.1.2.</w:t>
      </w:r>
      <w:r>
        <w:rPr>
          <w:rFonts w:ascii="Century Gothic" w:hAnsi="Century Gothic"/>
          <w:i/>
          <w:u w:val="single"/>
        </w:rPr>
        <w:t>2</w:t>
      </w:r>
      <w:r>
        <w:rPr>
          <w:rFonts w:ascii="Century Gothic" w:hAnsi="Century Gothic"/>
          <w:i/>
          <w:u w:val="single"/>
        </w:rPr>
        <w:t>.</w:t>
      </w:r>
      <w:r>
        <w:rPr>
          <w:rFonts w:ascii="Century Gothic" w:hAnsi="Century Gothic"/>
          <w:i/>
          <w:u w:val="single"/>
        </w:rPr>
        <w:t>1</w:t>
      </w:r>
      <w:r>
        <w:rPr>
          <w:rFonts w:ascii="Century Gothic" w:hAnsi="Century Gothic"/>
          <w:bCs/>
          <w:i/>
          <w:u w:val="single"/>
        </w:rPr>
        <w:t xml:space="preserve">. </w:t>
      </w:r>
      <w:r>
        <w:rPr>
          <w:rFonts w:ascii="Century Gothic" w:hAnsi="Century Gothic"/>
          <w:bCs/>
          <w:i/>
          <w:u w:val="single"/>
        </w:rPr>
        <w:t>Appuyer 1</w:t>
      </w:r>
      <w:r>
        <w:rPr>
          <w:rFonts w:ascii="Century Gothic" w:hAnsi="Century Gothic"/>
          <w:bCs/>
          <w:i/>
          <w:u w:val="single"/>
        </w:rPr>
        <w:t>5</w:t>
      </w:r>
      <w:r>
        <w:rPr>
          <w:rFonts w:ascii="Century Gothic" w:hAnsi="Century Gothic"/>
          <w:bCs/>
          <w:i/>
          <w:u w:val="single"/>
        </w:rPr>
        <w:t xml:space="preserve">0 producteurs à la production et à l’utilisation du compost dans l’espace de conservation de </w:t>
      </w:r>
      <w:r>
        <w:rPr>
          <w:rFonts w:ascii="Century Gothic" w:hAnsi="Century Gothic"/>
          <w:bCs/>
          <w:i/>
          <w:u w:val="single"/>
        </w:rPr>
        <w:t>Kaya</w:t>
      </w:r>
      <w:r>
        <w:rPr>
          <w:rFonts w:ascii="Century Gothic" w:hAnsi="Century Gothic"/>
          <w:bCs/>
          <w:i/>
          <w:u w:val="single"/>
        </w:rPr>
        <w:t xml:space="preserve"> </w:t>
      </w:r>
      <w:r>
        <w:rPr>
          <w:rFonts w:ascii="Century Gothic" w:hAnsi="Century Gothic"/>
          <w:i/>
          <w:spacing w:val="-1"/>
          <w:u w:val="single"/>
        </w:rPr>
        <w:t>(villages de Kaya Fabolo, Kaya Kafor et Kaya Navio)</w:t>
      </w:r>
    </w:p>
    <w:p>
      <w:pPr>
        <w:pStyle w:val="style0"/>
        <w:tabs>
          <w:tab w:val="left" w:leader="none" w:pos="9214"/>
          <w:tab w:val="left" w:leader="none" w:pos="9639"/>
        </w:tabs>
        <w:jc w:val="both"/>
        <w:outlineLvl w:val="3"/>
        <w:rPr>
          <w:rFonts w:ascii="Century Gothic" w:hAnsi="Century Gothic"/>
          <w:i/>
          <w:iCs/>
          <w:u w:val="single"/>
        </w:rPr>
      </w:pPr>
    </w:p>
    <w:p>
      <w:pPr>
        <w:pStyle w:val="style0"/>
        <w:tabs>
          <w:tab w:val="left" w:leader="none" w:pos="9214"/>
          <w:tab w:val="left" w:leader="none" w:pos="9639"/>
        </w:tabs>
        <w:jc w:val="both"/>
        <w:outlineLvl w:val="3"/>
        <w:rPr>
          <w:rFonts w:ascii="Century Gothic" w:hAnsi="Century Gothic"/>
          <w:bCs/>
        </w:rPr>
      </w:pPr>
      <w:r>
        <w:rPr>
          <w:rFonts w:ascii="Century Gothic" w:hAnsi="Century Gothic"/>
          <w:b/>
        </w:rPr>
        <w:t>L’objectif</w:t>
      </w:r>
      <w:r>
        <w:rPr>
          <w:rFonts w:ascii="Century Gothic" w:hAnsi="Century Gothic"/>
        </w:rPr>
        <w:t xml:space="preserve"> de cette activité est d’appuyer les producteurs à réaliser des fosses fumières pour produire de la fumure organique et fertiliser les sols en vue d’accroître les rendements agricoles. L’accroissement des rendements agricoles permettra d’atténuer le phénomène des nouvelles défriches afin de préserver les espaces de conservation </w:t>
      </w:r>
      <w:r>
        <w:rPr>
          <w:rFonts w:ascii="Century Gothic" w:hAnsi="Century Gothic"/>
          <w:b/>
        </w:rPr>
        <w:t xml:space="preserve">La méthode </w:t>
      </w:r>
      <w:r>
        <w:rPr>
          <w:rFonts w:ascii="Century Gothic" w:hAnsi="Century Gothic"/>
        </w:rPr>
        <w:t xml:space="preserve">consistera à doter les bénéficiaires d’un kit de matériels (pioche, pelle, râteaux, fourche et de Burkina phosphate pour la préparation du compost). L’acquisition du matériel se fera sur la base d’un appel d’offre conformément aux procédures de passation des marchés et un PV de réception sera dressé à cet effet. Le bénéficiaire prendra en charge la collecte des agrégats (paille, résidus agricoles, fumier, etc.). L’activité sera réalisée avec l’appui technique </w:t>
      </w:r>
      <w:r>
        <w:rPr>
          <w:rFonts w:ascii="Century Gothic" w:hAnsi="Century Gothic"/>
        </w:rPr>
        <w:t xml:space="preserve">du </w:t>
      </w:r>
      <w:r>
        <w:rPr>
          <w:rFonts w:ascii="Century Gothic" w:hAnsi="Century Gothic"/>
        </w:rPr>
        <w:t xml:space="preserve">chef ZATA de </w:t>
      </w:r>
      <w:r>
        <w:rPr>
          <w:rFonts w:ascii="Century Gothic" w:hAnsi="Century Gothic"/>
        </w:rPr>
        <w:t>Tiébélé</w:t>
      </w:r>
      <w:r>
        <w:rPr>
          <w:rFonts w:ascii="Century Gothic" w:hAnsi="Century Gothic"/>
        </w:rPr>
        <w:t xml:space="preserve"> </w:t>
      </w:r>
      <w:r>
        <w:rPr>
          <w:rFonts w:ascii="Century Gothic" w:hAnsi="Century Gothic"/>
        </w:rPr>
        <w:t>sur la base d’un protocole précisant les modalités de son intervention. Il participera avec les producteurs à l’identification des bénéficiaires qui se fera sur la base du volontariat</w:t>
      </w:r>
      <w:r>
        <w:rPr>
          <w:rFonts w:ascii="Century Gothic" w:hAnsi="Century Gothic"/>
        </w:rPr>
        <w:t xml:space="preserve"> après avoir pris en compte les </w:t>
      </w:r>
      <w:r>
        <w:rPr>
          <w:rFonts w:ascii="Century Gothic" w:hAnsi="Century Gothic"/>
        </w:rPr>
        <w:t>six producteurs exploitant actuellement dans les limites de l’espace de conservation</w:t>
      </w:r>
      <w:r>
        <w:rPr>
          <w:rFonts w:ascii="Century Gothic" w:hAnsi="Century Gothic"/>
        </w:rPr>
        <w:t xml:space="preserve">.  Un rapport de suivis périodiques des réalisations permettra de suivre la mise en œuvre de l’activité. </w:t>
      </w:r>
      <w:r>
        <w:rPr>
          <w:rFonts w:ascii="Century Gothic" w:hAnsi="Century Gothic"/>
          <w:b/>
        </w:rPr>
        <w:t>Le résultat attendu</w:t>
      </w:r>
      <w:r>
        <w:rPr>
          <w:rFonts w:ascii="Century Gothic" w:hAnsi="Century Gothic"/>
        </w:rPr>
        <w:t xml:space="preserve"> de l’activité est qu’au moins cent </w:t>
      </w:r>
      <w:r>
        <w:rPr>
          <w:rFonts w:ascii="Century Gothic" w:hAnsi="Century Gothic"/>
        </w:rPr>
        <w:t xml:space="preserve">cinquante </w:t>
      </w:r>
      <w:r>
        <w:rPr>
          <w:rFonts w:ascii="Century Gothic" w:hAnsi="Century Gothic"/>
        </w:rPr>
        <w:t>(1</w:t>
      </w:r>
      <w:r>
        <w:rPr>
          <w:rFonts w:ascii="Century Gothic" w:hAnsi="Century Gothic"/>
        </w:rPr>
        <w:t>5</w:t>
      </w:r>
      <w:r>
        <w:rPr>
          <w:rFonts w:ascii="Century Gothic" w:hAnsi="Century Gothic"/>
        </w:rPr>
        <w:t xml:space="preserve">0) tas de fumure organique sont produits </w:t>
      </w:r>
      <w:r>
        <w:rPr>
          <w:rFonts w:ascii="Century Gothic" w:hAnsi="Century Gothic"/>
        </w:rPr>
        <w:t xml:space="preserve">par an. Ce qui donne un total de </w:t>
      </w:r>
      <w:r>
        <w:rPr>
          <w:rFonts w:ascii="Century Gothic" w:hAnsi="Century Gothic"/>
        </w:rPr>
        <w:t>45</w:t>
      </w:r>
      <w:r>
        <w:rPr>
          <w:rFonts w:ascii="Century Gothic" w:hAnsi="Century Gothic"/>
        </w:rPr>
        <w:t xml:space="preserve">0 tas </w:t>
      </w:r>
      <w:r>
        <w:rPr>
          <w:rFonts w:ascii="Century Gothic" w:hAnsi="Century Gothic"/>
        </w:rPr>
        <w:t xml:space="preserve">par an. </w:t>
      </w:r>
      <w:r>
        <w:rPr>
          <w:rFonts w:ascii="Century Gothic" w:hAnsi="Century Gothic"/>
        </w:rPr>
        <w:t xml:space="preserve">Au total </w:t>
      </w:r>
      <w:r>
        <w:rPr>
          <w:rFonts w:ascii="Century Gothic" w:hAnsi="Century Gothic"/>
        </w:rPr>
        <w:t xml:space="preserve">une superficie d’environ </w:t>
      </w:r>
      <w:r>
        <w:rPr>
          <w:rFonts w:ascii="Century Gothic" w:hAnsi="Century Gothic"/>
        </w:rPr>
        <w:t>56,25</w:t>
      </w:r>
      <w:r>
        <w:rPr>
          <w:rFonts w:ascii="Century Gothic" w:hAnsi="Century Gothic"/>
        </w:rPr>
        <w:t xml:space="preserve"> hectares</w:t>
      </w:r>
      <w:r>
        <w:rPr>
          <w:rFonts w:ascii="Century Gothic" w:hAnsi="Century Gothic"/>
        </w:rPr>
        <w:t xml:space="preserve"> (8 tas pour 1 hectare)</w:t>
      </w:r>
      <w:r>
        <w:rPr>
          <w:rFonts w:ascii="Century Gothic" w:hAnsi="Century Gothic"/>
        </w:rPr>
        <w:t xml:space="preserve"> sera enrichie durant les trois années.</w:t>
      </w:r>
      <w:r>
        <w:rPr>
          <w:rFonts w:ascii="Century Gothic" w:hAnsi="Century Gothic"/>
          <w:b/>
        </w:rPr>
        <w:t xml:space="preserve"> </w:t>
      </w:r>
      <w:r>
        <w:rPr>
          <w:rFonts w:ascii="Century Gothic" w:hAnsi="Century Gothic"/>
          <w:b/>
        </w:rPr>
        <w:t>Les moyens physiques</w:t>
      </w:r>
      <w:r>
        <w:rPr>
          <w:rFonts w:ascii="Century Gothic" w:hAnsi="Century Gothic"/>
        </w:rPr>
        <w:t xml:space="preserve"> se résumeront en matériels (pelles, pioche) et </w:t>
      </w:r>
      <w:r>
        <w:rPr>
          <w:rFonts w:ascii="Century Gothic" w:hAnsi="Century Gothic"/>
          <w:b/>
        </w:rPr>
        <w:t>moyens humains</w:t>
      </w:r>
      <w:r>
        <w:rPr>
          <w:rFonts w:ascii="Century Gothic" w:hAnsi="Century Gothic"/>
        </w:rPr>
        <w:t xml:space="preserve"> constitués de l’expertise du service de l’agriculture. </w:t>
      </w:r>
      <w:r>
        <w:rPr>
          <w:rFonts w:ascii="Century Gothic" w:hAnsi="Century Gothic"/>
          <w:b/>
        </w:rPr>
        <w:t>Les</w:t>
      </w:r>
      <w:r>
        <w:rPr>
          <w:rFonts w:ascii="Century Gothic" w:hAnsi="Century Gothic"/>
        </w:rPr>
        <w:t xml:space="preserve"> </w:t>
      </w:r>
      <w:r>
        <w:rPr>
          <w:rFonts w:ascii="Century Gothic" w:hAnsi="Century Gothic"/>
          <w:b/>
        </w:rPr>
        <w:t xml:space="preserve">moyens financiers sont </w:t>
      </w:r>
      <w:r>
        <w:rPr>
          <w:rFonts w:ascii="Century Gothic" w:hAnsi="Century Gothic"/>
        </w:rPr>
        <w:t>composés des honoraires du suivi. Ces ressources seront financées par le budget du PDIC/REDD+</w:t>
      </w:r>
      <w:r>
        <w:rPr>
          <w:rFonts w:ascii="Century Gothic" w:hAnsi="Century Gothic"/>
        </w:rPr>
        <w:t xml:space="preserve"> de </w:t>
      </w:r>
      <w:r>
        <w:rPr>
          <w:rFonts w:ascii="Century Gothic" w:hAnsi="Century Gothic"/>
        </w:rPr>
        <w:t>Tiébélé</w:t>
      </w:r>
      <w:r>
        <w:rPr>
          <w:rFonts w:ascii="Century Gothic" w:hAnsi="Century Gothic"/>
        </w:rPr>
        <w:t xml:space="preserve">. L’organisation et la gestion de l’activité sera faite par le maire qui assure le rôle de coordination de l’activité en collaboration avec le service de l’agriculture.  </w:t>
      </w:r>
    </w:p>
    <w:p>
      <w:pPr>
        <w:pStyle w:val="style0"/>
        <w:tabs>
          <w:tab w:val="left" w:leader="none" w:pos="9214"/>
          <w:tab w:val="left" w:leader="none" w:pos="9639"/>
        </w:tabs>
        <w:jc w:val="both"/>
        <w:outlineLvl w:val="3"/>
        <w:rPr>
          <w:rFonts w:ascii="Century Gothic" w:hAnsi="Century Gothic"/>
          <w:bCs/>
        </w:rPr>
      </w:pPr>
      <w:r>
        <w:rPr>
          <w:rFonts w:ascii="Century Gothic" w:hAnsi="Century Gothic"/>
        </w:rPr>
        <w:t xml:space="preserve">  </w:t>
      </w:r>
    </w:p>
    <w:p>
      <w:pPr>
        <w:pStyle w:val="style0"/>
        <w:tabs>
          <w:tab w:val="left" w:leader="none" w:pos="9214"/>
          <w:tab w:val="left" w:leader="none" w:pos="9639"/>
        </w:tabs>
        <w:jc w:val="both"/>
        <w:rPr>
          <w:rFonts w:ascii="Century Gothic" w:hAnsi="Century Gothic"/>
          <w:i/>
          <w:spacing w:val="-1"/>
          <w:u w:val="single"/>
        </w:rPr>
      </w:pPr>
      <w:r>
        <w:rPr>
          <w:rFonts w:ascii="Century Gothic" w:hAnsi="Century Gothic"/>
          <w:bCs/>
          <w:i/>
          <w:u w:val="single"/>
        </w:rPr>
        <w:t>Activité</w:t>
      </w:r>
      <w:r>
        <w:rPr>
          <w:rFonts w:ascii="Century Gothic" w:hAnsi="Century Gothic"/>
          <w:bCs/>
          <w:i/>
          <w:u w:val="single"/>
        </w:rPr>
        <w:t xml:space="preserve"> </w:t>
      </w:r>
      <w:r>
        <w:rPr>
          <w:rFonts w:ascii="Century Gothic" w:hAnsi="Century Gothic"/>
          <w:i/>
          <w:u w:val="single"/>
        </w:rPr>
        <w:t>4.1.2.</w:t>
      </w:r>
      <w:r>
        <w:rPr>
          <w:rFonts w:ascii="Century Gothic" w:hAnsi="Century Gothic"/>
          <w:i/>
          <w:u w:val="single"/>
        </w:rPr>
        <w:t>2</w:t>
      </w:r>
      <w:r>
        <w:rPr>
          <w:rFonts w:ascii="Century Gothic" w:hAnsi="Century Gothic"/>
          <w:i/>
          <w:u w:val="single"/>
        </w:rPr>
        <w:t>.2</w:t>
      </w:r>
      <w:r>
        <w:rPr>
          <w:rFonts w:ascii="Century Gothic" w:hAnsi="Century Gothic"/>
          <w:bCs/>
          <w:i/>
          <w:u w:val="single"/>
        </w:rPr>
        <w:t xml:space="preserve">. </w:t>
      </w:r>
      <w:r>
        <w:rPr>
          <w:rFonts w:ascii="Century Gothic" w:hAnsi="Century Gothic"/>
          <w:i/>
          <w:iCs/>
          <w:u w:val="single"/>
        </w:rPr>
        <w:t xml:space="preserve">Appuyer </w:t>
      </w:r>
      <w:r>
        <w:rPr>
          <w:rFonts w:ascii="Century Gothic" w:hAnsi="Century Gothic"/>
          <w:i/>
          <w:iCs/>
          <w:u w:val="single"/>
        </w:rPr>
        <w:t>1</w:t>
      </w:r>
      <w:r>
        <w:rPr>
          <w:rFonts w:ascii="Century Gothic" w:hAnsi="Century Gothic"/>
          <w:i/>
          <w:iCs/>
          <w:u w:val="single"/>
        </w:rPr>
        <w:t>5</w:t>
      </w:r>
      <w:r>
        <w:rPr>
          <w:rFonts w:ascii="Century Gothic" w:hAnsi="Century Gothic"/>
          <w:i/>
          <w:iCs/>
          <w:u w:val="single"/>
        </w:rPr>
        <w:t xml:space="preserve">0 producteurs </w:t>
      </w:r>
      <w:r>
        <w:rPr>
          <w:rFonts w:ascii="Century Gothic" w:hAnsi="Century Gothic"/>
          <w:i/>
          <w:iCs/>
          <w:u w:val="single"/>
        </w:rPr>
        <w:t xml:space="preserve">la fauche et conservation du fourrage naturel dans les villages riverains de l‘espace de conservation de </w:t>
      </w:r>
      <w:r>
        <w:rPr>
          <w:rFonts w:ascii="Century Gothic" w:hAnsi="Century Gothic"/>
          <w:i/>
          <w:iCs/>
          <w:u w:val="single"/>
        </w:rPr>
        <w:t>Kaya</w:t>
      </w:r>
      <w:r>
        <w:rPr>
          <w:rFonts w:ascii="Century Gothic" w:hAnsi="Century Gothic"/>
          <w:i/>
          <w:iCs/>
          <w:u w:val="single"/>
        </w:rPr>
        <w:t xml:space="preserve"> </w:t>
      </w:r>
      <w:r>
        <w:rPr>
          <w:rFonts w:ascii="Century Gothic" w:hAnsi="Century Gothic"/>
          <w:i/>
          <w:spacing w:val="-1"/>
          <w:u w:val="single"/>
        </w:rPr>
        <w:t>(villages de Kaya Fabolo, Kaya Kafor et Kaya Navio)</w:t>
      </w:r>
    </w:p>
    <w:p>
      <w:pPr>
        <w:pStyle w:val="style0"/>
        <w:tabs>
          <w:tab w:val="left" w:leader="none" w:pos="1701"/>
          <w:tab w:val="left" w:leader="none" w:pos="9214"/>
          <w:tab w:val="left" w:leader="none" w:pos="9639"/>
        </w:tabs>
        <w:suppressAutoHyphens/>
        <w:jc w:val="both"/>
        <w:rPr>
          <w:rFonts w:ascii="Century Gothic" w:hAnsi="Century Gothic"/>
          <w:i/>
          <w:iCs/>
          <w:u w:val="single"/>
        </w:rPr>
      </w:pPr>
    </w:p>
    <w:p>
      <w:pPr>
        <w:pStyle w:val="style0"/>
        <w:tabs>
          <w:tab w:val="left" w:leader="none" w:pos="1701"/>
          <w:tab w:val="left" w:leader="none" w:pos="9214"/>
          <w:tab w:val="left" w:leader="none" w:pos="9639"/>
        </w:tabs>
        <w:suppressAutoHyphens/>
        <w:jc w:val="both"/>
        <w:rPr>
          <w:rFonts w:ascii="Century Gothic" w:hAnsi="Century Gothic"/>
          <w:bCs/>
          <w:i/>
          <w:u w:val="single"/>
        </w:rPr>
      </w:pPr>
      <w:r>
        <w:rPr>
          <w:rFonts w:ascii="Century Gothic" w:hAnsi="Century Gothic"/>
          <w:b/>
        </w:rPr>
        <w:t>L’objectif</w:t>
      </w:r>
      <w:r>
        <w:rPr>
          <w:rFonts w:ascii="Century Gothic" w:hAnsi="Century Gothic"/>
        </w:rPr>
        <w:t xml:space="preserve"> de cette activité est de doter les producteurs de kits de matériel de fauche et de conservation du fourrage naturel. Elle vise d’une part une augmentation de la production du fourrage et de sa conservation dans de bonnes conditions et d’autre part son utilisation en saison sèche comme aliment à bétail dans une optique de conservation des ressources forestières</w:t>
      </w:r>
      <w:r>
        <w:rPr>
          <w:rFonts w:ascii="Century Gothic" w:hAnsi="Century Gothic"/>
        </w:rPr>
        <w:t xml:space="preserve"> </w:t>
      </w:r>
      <w:r>
        <w:rPr>
          <w:rFonts w:ascii="Century Gothic" w:hAnsi="Century Gothic"/>
        </w:rPr>
        <w:t>participant ainsi</w:t>
      </w:r>
      <w:r>
        <w:rPr>
          <w:rFonts w:ascii="Century Gothic" w:hAnsi="Century Gothic"/>
        </w:rPr>
        <w:t xml:space="preserve"> à la résolution de la difficulté relative à la f</w:t>
      </w:r>
      <w:r>
        <w:rPr>
          <w:rFonts w:ascii="Century Gothic" w:cs="Tahoma" w:hAnsi="Century Gothic"/>
        </w:rPr>
        <w:t>aible disponibilité de l’offre fourragère dans la commune en saison sèche</w:t>
      </w:r>
      <w:r>
        <w:rPr>
          <w:rFonts w:ascii="Century Gothic" w:hAnsi="Century Gothic"/>
        </w:rPr>
        <w:t xml:space="preserve">. </w:t>
      </w:r>
      <w:r>
        <w:rPr>
          <w:rFonts w:ascii="Century Gothic" w:hAnsi="Century Gothic"/>
          <w:b/>
          <w:bCs/>
        </w:rPr>
        <w:t>La méthode</w:t>
      </w:r>
      <w:r>
        <w:rPr>
          <w:rFonts w:ascii="Century Gothic" w:hAnsi="Century Gothic"/>
          <w:bCs/>
        </w:rPr>
        <w:t xml:space="preserve"> consistera </w:t>
      </w:r>
      <w:r>
        <w:rPr>
          <w:rFonts w:ascii="Century Gothic" w:hAnsi="Century Gothic"/>
          <w:bCs/>
        </w:rPr>
        <w:t>à la dotation</w:t>
      </w:r>
      <w:r>
        <w:rPr>
          <w:rFonts w:ascii="Century Gothic" w:hAnsi="Century Gothic"/>
          <w:bCs/>
        </w:rPr>
        <w:t xml:space="preserve"> des </w:t>
      </w:r>
      <w:r>
        <w:rPr>
          <w:rFonts w:ascii="Century Gothic" w:hAnsi="Century Gothic"/>
          <w:bCs/>
        </w:rPr>
        <w:t>cent</w:t>
      </w:r>
      <w:r>
        <w:rPr>
          <w:rFonts w:ascii="Century Gothic" w:hAnsi="Century Gothic"/>
          <w:bCs/>
        </w:rPr>
        <w:t xml:space="preserve"> </w:t>
      </w:r>
      <w:r>
        <w:rPr>
          <w:rFonts w:ascii="Century Gothic" w:hAnsi="Century Gothic"/>
          <w:bCs/>
        </w:rPr>
        <w:t xml:space="preserve">cinquante </w:t>
      </w:r>
      <w:r>
        <w:rPr>
          <w:rFonts w:ascii="Century Gothic" w:hAnsi="Century Gothic"/>
          <w:bCs/>
        </w:rPr>
        <w:t>(</w:t>
      </w:r>
      <w:r>
        <w:rPr>
          <w:rFonts w:ascii="Century Gothic" w:hAnsi="Century Gothic"/>
          <w:bCs/>
        </w:rPr>
        <w:t>15</w:t>
      </w:r>
      <w:r>
        <w:rPr>
          <w:rFonts w:ascii="Century Gothic" w:hAnsi="Century Gothic"/>
          <w:bCs/>
        </w:rPr>
        <w:t>0</w:t>
      </w:r>
      <w:r>
        <w:rPr>
          <w:rFonts w:ascii="Century Gothic" w:hAnsi="Century Gothic"/>
          <w:bCs/>
        </w:rPr>
        <w:t>) producteurs formés en kit</w:t>
      </w:r>
      <w:r>
        <w:rPr>
          <w:rFonts w:ascii="Century Gothic" w:hAnsi="Century Gothic"/>
          <w:bCs/>
        </w:rPr>
        <w:t xml:space="preserve"> de fauche </w:t>
      </w:r>
      <w:r>
        <w:rPr>
          <w:rFonts w:ascii="Century Gothic" w:hAnsi="Century Gothic"/>
          <w:bCs/>
        </w:rPr>
        <w:t>(</w:t>
      </w:r>
      <w:r>
        <w:rPr>
          <w:rFonts w:ascii="Century Gothic" w:hAnsi="Century Gothic"/>
        </w:rPr>
        <w:t>botteleuse, faucilles, paire de botte</w:t>
      </w:r>
      <w:r>
        <w:rPr>
          <w:rFonts w:ascii="Century Gothic" w:hAnsi="Century Gothic"/>
        </w:rPr>
        <w:t>) et de</w:t>
      </w:r>
      <w:r>
        <w:rPr>
          <w:rFonts w:ascii="Century Gothic" w:hAnsi="Century Gothic"/>
        </w:rPr>
        <w:t xml:space="preserve"> conservation </w:t>
      </w:r>
      <w:r>
        <w:rPr>
          <w:rFonts w:ascii="Century Gothic" w:hAnsi="Century Gothic"/>
        </w:rPr>
        <w:t>(</w:t>
      </w:r>
      <w:r>
        <w:rPr>
          <w:rFonts w:ascii="Century Gothic" w:hAnsi="Century Gothic"/>
        </w:rPr>
        <w:t xml:space="preserve">fenil de 10 tôles en brique (l’apport du projet portera uniquement sur les tôles, chevrons et le transport). </w:t>
      </w:r>
      <w:r>
        <w:rPr>
          <w:rFonts w:ascii="Century Gothic" w:hAnsi="Century Gothic"/>
          <w:b/>
        </w:rPr>
        <w:t>Le résultat attendu</w:t>
      </w:r>
      <w:r>
        <w:rPr>
          <w:rFonts w:ascii="Century Gothic" w:hAnsi="Century Gothic"/>
        </w:rPr>
        <w:t xml:space="preserve"> de l’activité est que les capacités de la commune en matière de fauche et de conservation du fourrage sont renforcées. </w:t>
      </w:r>
      <w:r>
        <w:rPr>
          <w:rFonts w:ascii="Century Gothic" w:hAnsi="Century Gothic"/>
          <w:b/>
        </w:rPr>
        <w:t>Les moyens matériels</w:t>
      </w:r>
      <w:r>
        <w:rPr>
          <w:rFonts w:ascii="Century Gothic" w:hAnsi="Century Gothic"/>
        </w:rPr>
        <w:t xml:space="preserve"> se résumeront à la l’appui en tôle et en kits de fauche. Les </w:t>
      </w:r>
      <w:r>
        <w:rPr>
          <w:rFonts w:ascii="Century Gothic" w:hAnsi="Century Gothic"/>
          <w:b/>
        </w:rPr>
        <w:t>moyens humains</w:t>
      </w:r>
      <w:r>
        <w:rPr>
          <w:rFonts w:ascii="Century Gothic" w:hAnsi="Century Gothic"/>
        </w:rPr>
        <w:t xml:space="preserve"> constitués de l’expertise de l’agent des ressources animales pour le suivi conseil. </w:t>
      </w:r>
      <w:r>
        <w:rPr>
          <w:rFonts w:ascii="Century Gothic" w:hAnsi="Century Gothic"/>
          <w:b/>
        </w:rPr>
        <w:t>Les moyens financiers</w:t>
      </w:r>
      <w:r>
        <w:rPr>
          <w:rFonts w:ascii="Century Gothic" w:hAnsi="Century Gothic"/>
        </w:rPr>
        <w:t xml:space="preserve"> seront constitués de frais d’acquisition de matériels et le suivi technique à la charge du PDIC/REDD+ de </w:t>
      </w:r>
      <w:r>
        <w:rPr>
          <w:rFonts w:ascii="Century Gothic" w:hAnsi="Century Gothic"/>
        </w:rPr>
        <w:t>Tiébélé</w:t>
      </w:r>
      <w:r>
        <w:rPr>
          <w:rFonts w:ascii="Century Gothic" w:hAnsi="Century Gothic"/>
        </w:rPr>
        <w:t xml:space="preserve">. La réalisation et l’entretien des tas de compost constitueront la contribution en nature des bénéficiaires. L’organisation et la gestion de l’activité sera faite par le maire qui assure le rôle de coordination de l’activité en collaboration avec le service des ressources animales de la commune de </w:t>
      </w:r>
      <w:r>
        <w:rPr>
          <w:rFonts w:ascii="Century Gothic" w:hAnsi="Century Gothic"/>
        </w:rPr>
        <w:t>Tiébélé</w:t>
      </w:r>
      <w:r>
        <w:rPr>
          <w:rFonts w:ascii="Century Gothic" w:hAnsi="Century Gothic"/>
        </w:rPr>
        <w:t xml:space="preserve">.  </w:t>
      </w:r>
    </w:p>
    <w:p>
      <w:pPr>
        <w:pStyle w:val="style0"/>
        <w:tabs>
          <w:tab w:val="left" w:leader="none" w:pos="9214"/>
          <w:tab w:val="left" w:leader="none" w:pos="9639"/>
        </w:tabs>
        <w:jc w:val="both"/>
        <w:rPr>
          <w:rFonts w:ascii="Century Gothic" w:hAnsi="Century Gothic"/>
          <w:bCs/>
          <w:i/>
          <w:u w:val="single"/>
        </w:rPr>
      </w:pPr>
    </w:p>
    <w:p>
      <w:pPr>
        <w:pStyle w:val="style0"/>
        <w:tabs>
          <w:tab w:val="left" w:leader="none" w:pos="1701"/>
          <w:tab w:val="left" w:leader="none" w:pos="9214"/>
          <w:tab w:val="left" w:leader="none" w:pos="9639"/>
        </w:tabs>
        <w:suppressAutoHyphens/>
        <w:jc w:val="both"/>
        <w:rPr>
          <w:rFonts w:ascii="Century Gothic" w:hAnsi="Century Gothic"/>
          <w:i/>
        </w:rPr>
      </w:pPr>
      <w:r>
        <w:rPr>
          <w:rFonts w:ascii="Century Gothic" w:hAnsi="Century Gothic"/>
          <w:bCs/>
          <w:i/>
          <w:u w:val="single"/>
        </w:rPr>
        <w:t>Activité</w:t>
      </w:r>
      <w:r>
        <w:rPr>
          <w:rFonts w:ascii="Century Gothic" w:hAnsi="Century Gothic"/>
          <w:bCs/>
          <w:i/>
          <w:u w:val="single"/>
        </w:rPr>
        <w:t xml:space="preserve"> </w:t>
      </w:r>
      <w:r>
        <w:rPr>
          <w:rFonts w:ascii="Century Gothic" w:hAnsi="Century Gothic"/>
          <w:i/>
          <w:u w:val="single"/>
        </w:rPr>
        <w:t>4.1.2.</w:t>
      </w:r>
      <w:r>
        <w:rPr>
          <w:rFonts w:ascii="Century Gothic" w:hAnsi="Century Gothic"/>
          <w:i/>
          <w:u w:val="single"/>
        </w:rPr>
        <w:t>2</w:t>
      </w:r>
      <w:r>
        <w:rPr>
          <w:rFonts w:ascii="Century Gothic" w:hAnsi="Century Gothic"/>
          <w:i/>
          <w:u w:val="single"/>
        </w:rPr>
        <w:t>.3</w:t>
      </w:r>
      <w:r>
        <w:rPr>
          <w:rFonts w:ascii="Century Gothic" w:hAnsi="Century Gothic"/>
          <w:bCs/>
          <w:i/>
          <w:u w:val="single"/>
        </w:rPr>
        <w:t xml:space="preserve">. Appuyer l’apiculture moderne </w:t>
      </w:r>
      <w:r>
        <w:rPr>
          <w:rFonts w:ascii="Century Gothic" w:hAnsi="Century Gothic"/>
          <w:i/>
          <w:u w:val="single"/>
        </w:rPr>
        <w:t xml:space="preserve">au profit de </w:t>
      </w:r>
      <w:r>
        <w:rPr>
          <w:rFonts w:ascii="Century Gothic" w:hAnsi="Century Gothic"/>
          <w:i/>
          <w:u w:val="single"/>
        </w:rPr>
        <w:t>20</w:t>
      </w:r>
      <w:r>
        <w:rPr>
          <w:rFonts w:ascii="Century Gothic" w:hAnsi="Century Gothic"/>
          <w:i/>
          <w:u w:val="single"/>
        </w:rPr>
        <w:t xml:space="preserve"> jeunes et femmes dans l’espace de conservation de </w:t>
      </w:r>
      <w:r>
        <w:rPr>
          <w:rFonts w:ascii="Century Gothic" w:hAnsi="Century Gothic"/>
          <w:i/>
          <w:u w:val="single"/>
        </w:rPr>
        <w:t>Kaya</w:t>
      </w:r>
      <w:r>
        <w:rPr>
          <w:rFonts w:ascii="Century Gothic" w:hAnsi="Century Gothic"/>
          <w:i/>
          <w:u w:val="single"/>
        </w:rPr>
        <w:t xml:space="preserve"> (village de Kaya Navio)</w:t>
      </w:r>
    </w:p>
    <w:p>
      <w:pPr>
        <w:pStyle w:val="style0"/>
        <w:tabs>
          <w:tab w:val="left" w:leader="none" w:pos="1701"/>
          <w:tab w:val="left" w:leader="none" w:pos="9214"/>
          <w:tab w:val="left" w:leader="none" w:pos="9639"/>
        </w:tabs>
        <w:suppressAutoHyphens/>
        <w:jc w:val="both"/>
        <w:rPr>
          <w:rFonts w:ascii="Century Gothic" w:hAnsi="Century Gothic"/>
          <w:i/>
        </w:rPr>
      </w:pPr>
    </w:p>
    <w:p>
      <w:pPr>
        <w:pStyle w:val="style0"/>
        <w:tabs>
          <w:tab w:val="left" w:leader="none" w:pos="1701"/>
          <w:tab w:val="left" w:leader="none" w:pos="9214"/>
          <w:tab w:val="left" w:leader="none" w:pos="9639"/>
        </w:tabs>
        <w:suppressAutoHyphens/>
        <w:jc w:val="both"/>
        <w:rPr>
          <w:rFonts w:ascii="Century Gothic" w:hAnsi="Century Gothic"/>
          <w:bCs/>
          <w:i/>
          <w:u w:val="single"/>
        </w:rPr>
      </w:pPr>
      <w:r>
        <w:rPr>
          <w:rFonts w:ascii="Century Gothic" w:hAnsi="Century Gothic"/>
          <w:b/>
        </w:rPr>
        <w:t>L’o</w:t>
      </w:r>
      <w:r>
        <w:rPr>
          <w:rFonts w:ascii="Century Gothic" w:hAnsi="Century Gothic"/>
          <w:b/>
          <w:bCs/>
        </w:rPr>
        <w:t>bjectif </w:t>
      </w:r>
      <w:r>
        <w:rPr>
          <w:rFonts w:ascii="Century Gothic" w:hAnsi="Century Gothic"/>
          <w:bCs/>
        </w:rPr>
        <w:t xml:space="preserve">est d’appuyer les apprenants à produire du miel en quantité et en qualité. </w:t>
      </w:r>
      <w:r>
        <w:rPr>
          <w:rFonts w:ascii="Century Gothic" w:hAnsi="Century Gothic"/>
          <w:b/>
          <w:bCs/>
        </w:rPr>
        <w:t>La méthode</w:t>
      </w:r>
      <w:r>
        <w:rPr>
          <w:rFonts w:ascii="Century Gothic" w:hAnsi="Century Gothic"/>
          <w:bCs/>
        </w:rPr>
        <w:t xml:space="preserve"> sera de doter chaque sous-groupe de 4 personnes d’un kit apicole (ruches kenyanes à cadres trapézoïdaux, 4 combinaisons, 4 paires de bottes, 4 paires de gants, une brosse à abeilles, un lèvre-cadres, une enfumoir, un seau, un couteau, une torche, </w:t>
      </w:r>
      <w:r>
        <w:rPr>
          <w:rFonts w:ascii="Century Gothic" w:hAnsi="Century Gothic"/>
          <w:bCs/>
        </w:rPr>
        <w:t xml:space="preserve">4 </w:t>
      </w:r>
      <w:r>
        <w:rPr>
          <w:rFonts w:ascii="Century Gothic" w:hAnsi="Century Gothic"/>
          <w:bCs/>
        </w:rPr>
        <w:t xml:space="preserve">caisses de récolte). </w:t>
      </w:r>
      <w:r>
        <w:rPr>
          <w:rFonts w:ascii="Century Gothic" w:hAnsi="Century Gothic"/>
          <w:b/>
          <w:bCs/>
        </w:rPr>
        <w:t>Le résultat attendu </w:t>
      </w:r>
      <w:r>
        <w:rPr>
          <w:rFonts w:ascii="Century Gothic" w:hAnsi="Century Gothic"/>
          <w:bCs/>
        </w:rPr>
        <w:t xml:space="preserve">est que les apprenants sont équipés en kits apicoles et produisent du miel de qualité. </w:t>
      </w:r>
      <w:r>
        <w:rPr>
          <w:rFonts w:ascii="Century Gothic" w:hAnsi="Century Gothic"/>
          <w:b/>
        </w:rPr>
        <w:t>Les moyens physiques</w:t>
      </w:r>
      <w:r>
        <w:rPr>
          <w:rFonts w:ascii="Century Gothic" w:hAnsi="Century Gothic"/>
        </w:rPr>
        <w:t xml:space="preserve"> se résumeront en matériels apicoles (ruches, abreuvoirs, etc..) et </w:t>
      </w:r>
      <w:r>
        <w:rPr>
          <w:rFonts w:ascii="Century Gothic" w:hAnsi="Century Gothic"/>
          <w:b/>
        </w:rPr>
        <w:t>moyens humains</w:t>
      </w:r>
      <w:r>
        <w:rPr>
          <w:rFonts w:ascii="Century Gothic" w:hAnsi="Century Gothic"/>
        </w:rPr>
        <w:t xml:space="preserve"> constitués de l’expertise d’un spécialiste en apiculture pour le suivi conseil aux apiculteurs. </w:t>
      </w:r>
      <w:r>
        <w:rPr>
          <w:rFonts w:ascii="Century Gothic" w:hAnsi="Century Gothic"/>
          <w:b/>
        </w:rPr>
        <w:t>Les moyens financiers</w:t>
      </w:r>
      <w:r>
        <w:rPr>
          <w:rFonts w:ascii="Century Gothic" w:hAnsi="Century Gothic"/>
        </w:rPr>
        <w:t xml:space="preserve"> seront constitués de frais d’acquisition de matériels et le suivi technique à la charge du PDIC/REDD+ de </w:t>
      </w:r>
      <w:r>
        <w:rPr>
          <w:rFonts w:ascii="Century Gothic" w:hAnsi="Century Gothic"/>
        </w:rPr>
        <w:t>Tiébélé</w:t>
      </w:r>
      <w:r>
        <w:rPr>
          <w:rFonts w:ascii="Century Gothic" w:hAnsi="Century Gothic"/>
        </w:rPr>
        <w:t xml:space="preserve">. L’organisation et la gestion de l’activité sera faite par le maire qui assure le rôle de coordination de l’activité en collaboration avec l’expert en apiculture.  </w:t>
      </w:r>
    </w:p>
    <w:p>
      <w:pPr>
        <w:pStyle w:val="style0"/>
        <w:tabs>
          <w:tab w:val="left" w:leader="none" w:pos="9214"/>
          <w:tab w:val="left" w:leader="none" w:pos="9639"/>
        </w:tabs>
        <w:jc w:val="both"/>
        <w:rPr>
          <w:rFonts w:ascii="Century Gothic" w:hAnsi="Century Gothic"/>
          <w:bCs/>
          <w:i/>
          <w:u w:val="single"/>
        </w:rPr>
      </w:pPr>
    </w:p>
    <w:p>
      <w:pPr>
        <w:pStyle w:val="style0"/>
        <w:tabs>
          <w:tab w:val="left" w:leader="none" w:pos="1701"/>
          <w:tab w:val="left" w:leader="none" w:pos="9214"/>
          <w:tab w:val="left" w:leader="none" w:pos="9639"/>
        </w:tabs>
        <w:suppressAutoHyphens/>
        <w:jc w:val="both"/>
        <w:rPr>
          <w:rFonts w:ascii="Century Gothic" w:hAnsi="Century Gothic"/>
          <w:bCs/>
        </w:rPr>
      </w:pPr>
      <w:r>
        <w:rPr>
          <w:rFonts w:ascii="Century Gothic" w:hAnsi="Century Gothic"/>
          <w:bCs/>
          <w:i/>
          <w:u w:val="single"/>
        </w:rPr>
        <w:t xml:space="preserve">Activité </w:t>
      </w:r>
      <w:r>
        <w:rPr>
          <w:rFonts w:ascii="Century Gothic" w:hAnsi="Century Gothic"/>
          <w:i/>
          <w:u w:val="single"/>
        </w:rPr>
        <w:t>4.1.2.2.4</w:t>
      </w:r>
      <w:r>
        <w:rPr>
          <w:rFonts w:ascii="Century Gothic" w:hAnsi="Century Gothic"/>
          <w:bCs/>
          <w:i/>
          <w:u w:val="single"/>
        </w:rPr>
        <w:t xml:space="preserve">. Mettre en place une unité  de transformation des PFNL dans l’espace de conservation de Kaya </w:t>
      </w:r>
      <w:r>
        <w:rPr>
          <w:rFonts w:ascii="Century Gothic" w:hAnsi="Century Gothic"/>
          <w:bCs/>
          <w:i/>
          <w:u w:val="single"/>
        </w:rPr>
        <w:t xml:space="preserve">au profit de l’union des </w:t>
      </w:r>
      <w:r>
        <w:rPr>
          <w:rFonts w:ascii="Century Gothic" w:hAnsi="Century Gothic"/>
          <w:bCs/>
          <w:i/>
          <w:u w:val="single"/>
        </w:rPr>
        <w:t xml:space="preserve">SCOOP </w:t>
      </w:r>
      <w:r>
        <w:rPr>
          <w:rFonts w:ascii="Century Gothic" w:hAnsi="Century Gothic"/>
          <w:i/>
          <w:u w:val="single"/>
        </w:rPr>
        <w:t>KOUDJIGUI-TINA</w:t>
      </w:r>
      <w:r>
        <w:rPr>
          <w:rStyle w:val="style38"/>
          <w:rFonts w:ascii="Century Gothic" w:hAnsi="Century Gothic"/>
          <w:i/>
          <w:u w:val="single"/>
        </w:rPr>
        <w:footnoteReference w:id="5"/>
      </w:r>
      <w:r>
        <w:rPr>
          <w:rFonts w:ascii="Century Gothic" w:hAnsi="Century Gothic"/>
          <w:bCs/>
          <w:i/>
          <w:u w:val="single"/>
        </w:rPr>
        <w:t xml:space="preserve">. </w:t>
      </w:r>
      <w:r>
        <w:rPr>
          <w:rFonts w:ascii="Century Gothic" w:hAnsi="Century Gothic"/>
          <w:b/>
          <w:bCs/>
        </w:rPr>
        <w:t xml:space="preserve">L’objectif </w:t>
      </w:r>
      <w:r>
        <w:rPr>
          <w:rFonts w:ascii="Century Gothic" w:hAnsi="Century Gothic"/>
          <w:bCs/>
        </w:rPr>
        <w:t xml:space="preserve">de cette activité est de doter la SCOOP </w:t>
      </w:r>
      <w:r>
        <w:rPr>
          <w:rFonts w:ascii="Century Gothic" w:hAnsi="Century Gothic"/>
        </w:rPr>
        <w:t>KOUDJIGUI-TINA</w:t>
      </w:r>
      <w:r>
        <w:rPr>
          <w:rFonts w:ascii="Century Gothic" w:hAnsi="Century Gothic"/>
          <w:bCs/>
        </w:rPr>
        <w:t xml:space="preserve"> des PFNL d’un</w:t>
      </w:r>
      <w:r>
        <w:rPr>
          <w:rFonts w:ascii="Century Gothic" w:hAnsi="Century Gothic"/>
        </w:rPr>
        <w:t xml:space="preserve"> centre de traitement, conditionnement et transformation de produits forestiers non ligneux biologiques (amandes, beurre, feuilles de baobab, graines de néré, etc.). Elle vise d’une part à accroître la qualité et les quantités des produits, </w:t>
      </w:r>
      <w:r>
        <w:rPr>
          <w:rFonts w:ascii="Century Gothic" w:hAnsi="Century Gothic"/>
          <w:bCs/>
        </w:rPr>
        <w:t xml:space="preserve">à réduire la pénibilité des tâches des femmes dans la transformation et d’autre part à obtenir des prix d’achat rémunérateur afin de lutter contre la pauvreté. L’amélioration des revenus des femmes permettra à ces dernières de ne pas avoir recours à la coupe du bois dans les espaces de conservation pour subvenir à leurs besoins </w:t>
      </w:r>
      <w:r>
        <w:rPr>
          <w:rFonts w:ascii="Century Gothic" w:hAnsi="Century Gothic"/>
          <w:b/>
          <w:bCs/>
        </w:rPr>
        <w:t>La méthode</w:t>
      </w:r>
      <w:r>
        <w:rPr>
          <w:rFonts w:ascii="Century Gothic" w:hAnsi="Century Gothic"/>
          <w:bCs/>
        </w:rPr>
        <w:t xml:space="preserve"> consistera à la négociation d’un </w:t>
      </w:r>
      <w:r>
        <w:rPr>
          <w:rFonts w:ascii="Century Gothic" w:hAnsi="Century Gothic"/>
          <w:bCs/>
        </w:rPr>
        <w:t>espace</w:t>
      </w:r>
      <w:r>
        <w:rPr>
          <w:rFonts w:ascii="Century Gothic" w:hAnsi="Century Gothic"/>
          <w:bCs/>
        </w:rPr>
        <w:t xml:space="preserve"> au profit de la coopération suivi de l’obtention de l’</w:t>
      </w:r>
      <w:r>
        <w:rPr>
          <w:rFonts w:ascii="Century Gothic" w:hAnsi="Century Gothic"/>
          <w:bCs/>
        </w:rPr>
        <w:t>attestation de</w:t>
      </w:r>
      <w:r>
        <w:rPr>
          <w:rFonts w:ascii="Century Gothic" w:hAnsi="Century Gothic"/>
          <w:bCs/>
        </w:rPr>
        <w:t xml:space="preserve"> </w:t>
      </w:r>
      <w:r>
        <w:rPr>
          <w:rFonts w:ascii="Century Gothic" w:hAnsi="Century Gothic"/>
          <w:bCs/>
        </w:rPr>
        <w:t>possession</w:t>
      </w:r>
      <w:r>
        <w:rPr>
          <w:rFonts w:ascii="Century Gothic" w:hAnsi="Century Gothic"/>
          <w:bCs/>
        </w:rPr>
        <w:t xml:space="preserve"> foncière, la mise en place des </w:t>
      </w:r>
      <w:r>
        <w:rPr>
          <w:rFonts w:ascii="Century Gothic" w:hAnsi="Century Gothic"/>
          <w:bCs/>
        </w:rPr>
        <w:t>infrastructures</w:t>
      </w:r>
      <w:r>
        <w:rPr>
          <w:rFonts w:ascii="Century Gothic" w:hAnsi="Century Gothic"/>
          <w:bCs/>
        </w:rPr>
        <w:t xml:space="preserve"> </w:t>
      </w:r>
      <w:r>
        <w:rPr>
          <w:rFonts w:ascii="Century Gothic" w:hAnsi="Century Gothic"/>
          <w:bCs/>
        </w:rPr>
        <w:t>(bâtiment de stockage de 25m², hangar de décorticage de 10m² et terrasse de séchage 20m²</w:t>
      </w:r>
      <w:r>
        <w:rPr>
          <w:rFonts w:ascii="Century Gothic" w:hAnsi="Century Gothic"/>
          <w:bCs/>
        </w:rPr>
        <w:t>, latrines 2m²) soit un total de 57 m² de surface)</w:t>
      </w:r>
      <w:r>
        <w:rPr>
          <w:rFonts w:ascii="Century Gothic" w:hAnsi="Century Gothic"/>
          <w:bCs/>
        </w:rPr>
        <w:t xml:space="preserve"> </w:t>
      </w:r>
      <w:r>
        <w:rPr>
          <w:rFonts w:ascii="Century Gothic" w:hAnsi="Century Gothic"/>
          <w:bCs/>
        </w:rPr>
        <w:t>et équipements</w:t>
      </w:r>
      <w:r>
        <w:rPr>
          <w:rFonts w:ascii="Century Gothic" w:hAnsi="Century Gothic"/>
          <w:bCs/>
        </w:rPr>
        <w:t xml:space="preserve"> de transformation</w:t>
      </w:r>
      <w:r>
        <w:rPr>
          <w:rFonts w:ascii="Century Gothic" w:hAnsi="Century Gothic"/>
        </w:rPr>
        <w:t>. Un comité de gestion sera mis en place par les bénéficiaires dont les membres seront formés en gestion des unités (comptabilité simplifiée, gestion d</w:t>
      </w:r>
      <w:r>
        <w:rPr>
          <w:rFonts w:ascii="Century Gothic" w:hAnsi="Century Gothic"/>
        </w:rPr>
        <w:t>e l’unité</w:t>
      </w:r>
      <w:r>
        <w:rPr>
          <w:rFonts w:ascii="Century Gothic" w:hAnsi="Century Gothic"/>
        </w:rPr>
        <w:t xml:space="preserve">, entretien courant de l'équipement) sera organisée à leur profit. Afin de permettre au comité de gestion de démarrer ses activités, un fonds de roulement sera </w:t>
      </w:r>
      <w:r>
        <w:rPr>
          <w:rFonts w:ascii="Century Gothic" w:hAnsi="Century Gothic"/>
        </w:rPr>
        <w:t>mis en place</w:t>
      </w:r>
      <w:r>
        <w:rPr>
          <w:rFonts w:ascii="Century Gothic" w:hAnsi="Century Gothic"/>
        </w:rPr>
        <w:t xml:space="preserve">. </w:t>
      </w:r>
      <w:r>
        <w:rPr>
          <w:rFonts w:ascii="Century Gothic" w:hAnsi="Century Gothic"/>
          <w:b/>
        </w:rPr>
        <w:t>Le résultat attendu</w:t>
      </w:r>
      <w:r>
        <w:rPr>
          <w:rFonts w:ascii="Century Gothic" w:hAnsi="Century Gothic"/>
        </w:rPr>
        <w:t xml:space="preserve"> de l’activité est qu’une unité de transformation est installée, fonctionne et des clients existent au profit de 300 femmes. </w:t>
      </w:r>
      <w:r>
        <w:rPr>
          <w:rFonts w:ascii="Century Gothic" w:hAnsi="Century Gothic"/>
          <w:b/>
        </w:rPr>
        <w:t>Les moyens physiques</w:t>
      </w:r>
      <w:r>
        <w:rPr>
          <w:rFonts w:ascii="Century Gothic" w:hAnsi="Century Gothic"/>
        </w:rPr>
        <w:t xml:space="preserve"> se résumeront </w:t>
      </w:r>
      <w:r>
        <w:rPr>
          <w:rFonts w:ascii="Century Gothic" w:hAnsi="Century Gothic"/>
        </w:rPr>
        <w:t xml:space="preserve">aux infrastructures et équipements.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w:t>
      </w:r>
      <w:r>
        <w:rPr>
          <w:rFonts w:ascii="Century Gothic" w:hAnsi="Century Gothic"/>
        </w:rPr>
        <w:t xml:space="preserve">seront </w:t>
      </w:r>
      <w:r>
        <w:rPr>
          <w:rFonts w:ascii="Century Gothic" w:hAnsi="Century Gothic"/>
        </w:rPr>
        <w:t>constitués de l’expertise du service de l’agriculture</w:t>
      </w:r>
      <w:r>
        <w:rPr>
          <w:rFonts w:ascii="Century Gothic" w:hAnsi="Century Gothic"/>
        </w:rPr>
        <w:t xml:space="preserve"> pour le suivi conseil, des formateurs/trices externes pour les thématiques spécifiques</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constitués de frais d</w:t>
      </w:r>
      <w:r>
        <w:rPr>
          <w:rFonts w:ascii="Century Gothic" w:hAnsi="Century Gothic"/>
        </w:rPr>
        <w:t>e construction, d</w:t>
      </w:r>
      <w:r>
        <w:rPr>
          <w:rFonts w:ascii="Century Gothic" w:hAnsi="Century Gothic"/>
        </w:rPr>
        <w:t xml:space="preserve">’acquisition de matériels et le suivi technique à la charge du PDIC/REDD+ de Tiébélé. L’organisation et la gestion de l’activité sera faite par le maire qui assure le rôle de coordination de l’activité en collaboration avec </w:t>
      </w:r>
      <w:r>
        <w:rPr>
          <w:rFonts w:ascii="Century Gothic" w:hAnsi="Century Gothic"/>
        </w:rPr>
        <w:t xml:space="preserve">les responsables de la </w:t>
      </w:r>
      <w:r>
        <w:rPr>
          <w:rFonts w:ascii="Century Gothic" w:hAnsi="Century Gothic"/>
          <w:bCs/>
        </w:rPr>
        <w:t xml:space="preserve">SCOOP </w:t>
      </w:r>
      <w:r>
        <w:rPr>
          <w:rFonts w:ascii="Century Gothic" w:hAnsi="Century Gothic"/>
        </w:rPr>
        <w:t xml:space="preserve">KOUDJIGUI-TINA et </w:t>
      </w:r>
      <w:r>
        <w:rPr>
          <w:rFonts w:ascii="Century Gothic" w:hAnsi="Century Gothic"/>
        </w:rPr>
        <w:t xml:space="preserve">le service de l’agriculture.  </w:t>
      </w: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bCs/>
        </w:rPr>
      </w:pPr>
      <w:r>
        <w:rPr>
          <w:rFonts w:ascii="Century Gothic" w:hAnsi="Century Gothic"/>
          <w:b/>
          <w:i/>
        </w:rPr>
        <w:t>4.1.2.</w:t>
      </w:r>
      <w:r>
        <w:rPr>
          <w:rFonts w:ascii="Century Gothic" w:hAnsi="Century Gothic"/>
          <w:b/>
          <w:i/>
        </w:rPr>
        <w:t>3</w:t>
      </w:r>
      <w:r>
        <w:rPr>
          <w:rFonts w:ascii="Century Gothic" w:hAnsi="Century Gothic"/>
          <w:b/>
          <w:bCs/>
        </w:rPr>
        <w:t>. Activités de renforcement des capacités</w:t>
      </w:r>
      <w:r>
        <w:rPr>
          <w:rFonts w:ascii="Century Gothic" w:hAnsi="Century Gothic"/>
          <w:b/>
          <w:bCs/>
        </w:rPr>
        <w:t xml:space="preserve"> d’adaptation aux activités et responsabilités </w:t>
      </w:r>
      <w:r>
        <w:rPr>
          <w:rFonts w:ascii="Century Gothic" w:hAnsi="Century Gothic"/>
          <w:b/>
          <w:i/>
        </w:rPr>
        <w:t xml:space="preserve">dans l’espace de conservation de </w:t>
      </w:r>
      <w:r>
        <w:rPr>
          <w:rFonts w:ascii="Century Gothic" w:hAnsi="Century Gothic"/>
          <w:b/>
          <w:i/>
        </w:rPr>
        <w:t>Kaya</w:t>
      </w:r>
    </w:p>
    <w:p>
      <w:pPr>
        <w:pStyle w:val="style0"/>
        <w:tabs>
          <w:tab w:val="left" w:leader="none" w:pos="9214"/>
          <w:tab w:val="left" w:leader="none" w:pos="9639"/>
        </w:tabs>
        <w:jc w:val="both"/>
        <w:rPr>
          <w:rFonts w:ascii="Century Gothic" w:hAnsi="Century Gothic"/>
          <w:b/>
          <w:bCs/>
        </w:rPr>
      </w:pPr>
    </w:p>
    <w:p>
      <w:pPr>
        <w:pStyle w:val="style0"/>
        <w:tabs>
          <w:tab w:val="left" w:leader="none" w:pos="9214"/>
          <w:tab w:val="left" w:leader="none" w:pos="9639"/>
        </w:tabs>
        <w:jc w:val="both"/>
        <w:rPr>
          <w:rFonts w:ascii="Century Gothic" w:cs="Arial" w:hAnsi="Century Gothic"/>
          <w:i/>
          <w:u w:val="single"/>
        </w:rPr>
      </w:pPr>
      <w:r>
        <w:rPr>
          <w:rFonts w:ascii="Century Gothic" w:hAnsi="Century Gothic"/>
          <w:i/>
          <w:u w:val="single"/>
        </w:rPr>
        <w:t>Activité 4.1.2.</w:t>
      </w:r>
      <w:r>
        <w:rPr>
          <w:rFonts w:ascii="Century Gothic" w:hAnsi="Century Gothic"/>
          <w:i/>
          <w:u w:val="single"/>
        </w:rPr>
        <w:t>3</w:t>
      </w:r>
      <w:r>
        <w:rPr>
          <w:rFonts w:ascii="Century Gothic" w:hAnsi="Century Gothic"/>
          <w:i/>
          <w:u w:val="single"/>
        </w:rPr>
        <w:t>.1</w:t>
      </w:r>
      <w:r>
        <w:rPr>
          <w:rFonts w:ascii="Century Gothic" w:hAnsi="Century Gothic"/>
          <w:i/>
          <w:u w:val="single"/>
        </w:rPr>
        <w:t xml:space="preserve"> : </w:t>
      </w:r>
      <w:r>
        <w:rPr>
          <w:rFonts w:ascii="Century Gothic" w:cs="Arial" w:hAnsi="Century Gothic"/>
          <w:i/>
          <w:u w:val="single"/>
        </w:rPr>
        <w:t xml:space="preserve">Former </w:t>
      </w:r>
      <w:r>
        <w:rPr>
          <w:rFonts w:ascii="Century Gothic" w:cs="Arial" w:hAnsi="Century Gothic"/>
          <w:i/>
          <w:u w:val="single"/>
        </w:rPr>
        <w:t>5</w:t>
      </w:r>
      <w:r>
        <w:rPr>
          <w:rFonts w:ascii="Century Gothic" w:cs="Arial" w:hAnsi="Century Gothic"/>
          <w:i/>
          <w:u w:val="single"/>
        </w:rPr>
        <w:t xml:space="preserve">0 élus locaux et leaders villageois de la commune de </w:t>
      </w:r>
      <w:r>
        <w:rPr>
          <w:rFonts w:ascii="Century Gothic" w:cs="Arial" w:hAnsi="Century Gothic"/>
          <w:i/>
          <w:u w:val="single"/>
        </w:rPr>
        <w:t>Tiébélé</w:t>
      </w:r>
      <w:r>
        <w:rPr>
          <w:rFonts w:ascii="Century Gothic" w:cs="Arial" w:hAnsi="Century Gothic"/>
          <w:i/>
          <w:u w:val="single"/>
        </w:rPr>
        <w:t xml:space="preserve"> </w:t>
      </w:r>
      <w:r>
        <w:rPr>
          <w:rFonts w:ascii="Century Gothic" w:cs="Arial" w:hAnsi="Century Gothic"/>
          <w:i/>
          <w:u w:val="single"/>
        </w:rPr>
        <w:t>sur la gouvernance locale et en législations environnementales</w:t>
      </w:r>
    </w:p>
    <w:p>
      <w:pPr>
        <w:pStyle w:val="style0"/>
        <w:tabs>
          <w:tab w:val="left" w:leader="none" w:pos="9214"/>
          <w:tab w:val="left" w:leader="none" w:pos="9639"/>
        </w:tabs>
        <w:jc w:val="both"/>
        <w:rPr>
          <w:rFonts w:ascii="Century Gothic" w:cs="Arial" w:hAnsi="Century Gothic"/>
          <w:i/>
          <w:u w:val="single"/>
        </w:rPr>
      </w:pPr>
    </w:p>
    <w:p>
      <w:pPr>
        <w:pStyle w:val="style0"/>
        <w:tabs>
          <w:tab w:val="left" w:leader="none" w:pos="9214"/>
          <w:tab w:val="left" w:leader="none" w:pos="9639"/>
        </w:tabs>
        <w:jc w:val="both"/>
        <w:rPr>
          <w:rFonts w:ascii="Century Gothic" w:hAnsi="Century Gothic"/>
          <w:i/>
          <w:u w:val="single"/>
        </w:rPr>
      </w:pPr>
      <w:r>
        <w:rPr>
          <w:rFonts w:ascii="Century Gothic" w:cs="Arial" w:hAnsi="Century Gothic"/>
          <w:b/>
        </w:rPr>
        <w:t>L’objectif</w:t>
      </w:r>
      <w:r>
        <w:rPr>
          <w:rFonts w:ascii="Century Gothic" w:cs="Arial" w:hAnsi="Century Gothic"/>
        </w:rPr>
        <w:t xml:space="preserve"> de cette activité est de contribuer </w:t>
      </w:r>
      <w:r>
        <w:rPr>
          <w:rFonts w:ascii="Century Gothic" w:cs="Arial" w:hAnsi="Century Gothic"/>
        </w:rPr>
        <w:t xml:space="preserve">à </w:t>
      </w:r>
      <w:r>
        <w:rPr>
          <w:rFonts w:ascii="Century Gothic" w:cs="Arial" w:hAnsi="Century Gothic"/>
        </w:rPr>
        <w:t xml:space="preserve">l’amélioration des connaissances et des pratiques de conseillers municipaux en matière de prise de décisions sur les questions environnementales. </w:t>
      </w:r>
      <w:r>
        <w:rPr>
          <w:rFonts w:ascii="Century Gothic" w:cs="Arial" w:hAnsi="Century Gothic"/>
          <w:b/>
        </w:rPr>
        <w:t>L</w:t>
      </w:r>
      <w:r>
        <w:rPr>
          <w:rFonts w:ascii="Century Gothic" w:cs="Arial" w:hAnsi="Century Gothic"/>
          <w:b/>
        </w:rPr>
        <w:t xml:space="preserve">a méthode </w:t>
      </w:r>
      <w:r>
        <w:rPr>
          <w:rFonts w:ascii="Century Gothic" w:cs="Arial" w:hAnsi="Century Gothic"/>
        </w:rPr>
        <w:t xml:space="preserve">va reposer sur </w:t>
      </w:r>
      <w:r>
        <w:rPr>
          <w:rFonts w:ascii="Century Gothic" w:cs="Arial" w:hAnsi="Century Gothic"/>
        </w:rPr>
        <w:t xml:space="preserve">l’élaboration des </w:t>
      </w:r>
      <w:r>
        <w:rPr>
          <w:rFonts w:ascii="Century Gothic" w:cs="Arial" w:hAnsi="Century Gothic"/>
        </w:rPr>
        <w:t>termes de référence</w:t>
      </w:r>
      <w:r>
        <w:rPr>
          <w:rFonts w:ascii="Century Gothic" w:cs="Arial" w:hAnsi="Century Gothic"/>
        </w:rPr>
        <w:t>, la recherche des consultants formateurs et l’organ</w:t>
      </w:r>
      <w:r>
        <w:rPr>
          <w:rFonts w:ascii="Century Gothic" w:cs="Arial" w:hAnsi="Century Gothic"/>
        </w:rPr>
        <w:t>isation pratique de formation</w:t>
      </w:r>
      <w:r>
        <w:rPr>
          <w:rFonts w:ascii="Century Gothic" w:cs="Arial" w:hAnsi="Century Gothic"/>
        </w:rPr>
        <w:t xml:space="preserve">. </w:t>
      </w:r>
      <w:r>
        <w:rPr>
          <w:rFonts w:ascii="Century Gothic" w:cs="Arial" w:hAnsi="Century Gothic"/>
          <w:b/>
        </w:rPr>
        <w:t>Le résultat attendu</w:t>
      </w:r>
      <w:r>
        <w:rPr>
          <w:rFonts w:ascii="Century Gothic" w:cs="Arial" w:hAnsi="Century Gothic"/>
        </w:rPr>
        <w:t xml:space="preserve"> est que la commune de </w:t>
      </w:r>
      <w:r>
        <w:rPr>
          <w:rFonts w:ascii="Century Gothic" w:cs="Arial" w:hAnsi="Century Gothic"/>
        </w:rPr>
        <w:t>Tiébélé</w:t>
      </w:r>
      <w:r>
        <w:rPr>
          <w:rFonts w:ascii="Century Gothic" w:cs="Arial" w:hAnsi="Century Gothic"/>
        </w:rPr>
        <w:t xml:space="preserve"> dispose des conseillers </w:t>
      </w:r>
      <w:r>
        <w:rPr>
          <w:rFonts w:ascii="Century Gothic" w:cs="Arial" w:hAnsi="Century Gothic"/>
        </w:rPr>
        <w:t xml:space="preserve">municipaux et leaders villageois </w:t>
      </w:r>
      <w:r>
        <w:rPr>
          <w:rFonts w:ascii="Century Gothic" w:cs="Arial" w:hAnsi="Century Gothic"/>
        </w:rPr>
        <w:t xml:space="preserve">outillés et aptes à prendre des décisions éclairées sur la gestion des ressources naturelles. </w:t>
      </w:r>
      <w:r>
        <w:rPr>
          <w:rFonts w:ascii="Century Gothic" w:cs="Arial" w:hAnsi="Century Gothic"/>
          <w:b/>
        </w:rPr>
        <w:t>Les moyens humains</w:t>
      </w:r>
      <w:r>
        <w:rPr>
          <w:rFonts w:ascii="Century Gothic" w:cs="Arial" w:hAnsi="Century Gothic"/>
        </w:rPr>
        <w:t xml:space="preserve"> sont constitués de l’expertise technique d’un spécialiste en renforcement sur les législations environnementales et la gouvernance locale des ressources naturelles. </w:t>
      </w:r>
      <w:r>
        <w:rPr>
          <w:rFonts w:ascii="Century Gothic" w:cs="Arial" w:hAnsi="Century Gothic"/>
          <w:b/>
        </w:rPr>
        <w:t>Les moyens matériels</w:t>
      </w:r>
      <w:r>
        <w:rPr>
          <w:rFonts w:ascii="Century Gothic" w:cs="Arial" w:hAnsi="Century Gothic"/>
        </w:rPr>
        <w:t xml:space="preserve"> seront constitués de fournitures et matériels de formation. </w:t>
      </w:r>
      <w:r>
        <w:rPr>
          <w:rFonts w:ascii="Century Gothic" w:cs="Arial" w:hAnsi="Century Gothic"/>
          <w:b/>
        </w:rPr>
        <w:t>Les moyens financiers</w:t>
      </w:r>
      <w:r>
        <w:rPr>
          <w:rFonts w:ascii="Century Gothic" w:cs="Arial" w:hAnsi="Century Gothic"/>
        </w:rPr>
        <w:t xml:space="preserve"> seront de ressources financières pour la prise en charge du formateur et l’organisation pratique de la formation </w:t>
      </w:r>
      <w:r>
        <w:rPr>
          <w:rFonts w:ascii="Century Gothic" w:hAnsi="Century Gothic"/>
        </w:rPr>
        <w:t xml:space="preserve">à la charge du PDIC/REDD+ de </w:t>
      </w:r>
      <w:r>
        <w:rPr>
          <w:rFonts w:ascii="Century Gothic" w:hAnsi="Century Gothic"/>
        </w:rPr>
        <w:t>Tiébélé</w:t>
      </w:r>
      <w:r>
        <w:rPr>
          <w:rFonts w:ascii="Century Gothic" w:cs="Arial" w:hAnsi="Century Gothic"/>
        </w:rPr>
        <w:t xml:space="preserve">. </w:t>
      </w:r>
      <w:r>
        <w:rPr>
          <w:rFonts w:ascii="Century Gothic" w:cs="Arial" w:hAnsi="Century Gothic"/>
        </w:rPr>
        <w:t>L’organisation et la gestion de l’activité sera faite par le maire qui assure le rôle de coordination en collaboration avec le formateur et les conseillers.</w:t>
      </w:r>
    </w:p>
    <w:p>
      <w:pPr>
        <w:pStyle w:val="style0"/>
        <w:tabs>
          <w:tab w:val="left" w:leader="none" w:pos="9214"/>
          <w:tab w:val="left" w:leader="none" w:pos="9639"/>
        </w:tabs>
        <w:jc w:val="both"/>
        <w:rPr>
          <w:rFonts w:ascii="Century Gothic" w:hAnsi="Century Gothic"/>
          <w:i/>
          <w:u w:val="single"/>
        </w:rPr>
      </w:pPr>
    </w:p>
    <w:p>
      <w:pPr>
        <w:pStyle w:val="style0"/>
        <w:tabs>
          <w:tab w:val="left" w:leader="none" w:pos="9214"/>
          <w:tab w:val="left" w:leader="none" w:pos="9639"/>
        </w:tabs>
        <w:jc w:val="both"/>
        <w:rPr>
          <w:rFonts w:ascii="Century Gothic" w:cs="Arial" w:hAnsi="Century Gothic"/>
          <w:i/>
          <w:color w:val="000000"/>
          <w:u w:val="single"/>
        </w:rPr>
      </w:pPr>
      <w:r>
        <w:rPr>
          <w:rFonts w:ascii="Century Gothic" w:hAnsi="Century Gothic"/>
          <w:i/>
          <w:u w:val="single"/>
        </w:rPr>
        <w:t>Activité 4.1.2.</w:t>
      </w:r>
      <w:r>
        <w:rPr>
          <w:rFonts w:ascii="Century Gothic" w:hAnsi="Century Gothic"/>
          <w:i/>
          <w:u w:val="single"/>
        </w:rPr>
        <w:t>3</w:t>
      </w:r>
      <w:r>
        <w:rPr>
          <w:rFonts w:ascii="Century Gothic" w:hAnsi="Century Gothic"/>
          <w:i/>
          <w:u w:val="single"/>
        </w:rPr>
        <w:t xml:space="preserve">.2 : </w:t>
      </w:r>
      <w:r>
        <w:rPr>
          <w:rFonts w:ascii="Century Gothic" w:cs="Arial" w:hAnsi="Century Gothic"/>
          <w:i/>
          <w:color w:val="000000"/>
          <w:u w:val="single"/>
        </w:rPr>
        <w:t xml:space="preserve">Organiser </w:t>
      </w:r>
      <w:r>
        <w:rPr>
          <w:rFonts w:ascii="Century Gothic" w:cs="Arial" w:hAnsi="Century Gothic"/>
          <w:i/>
          <w:color w:val="000000"/>
          <w:u w:val="single"/>
        </w:rPr>
        <w:t>vingt</w:t>
      </w:r>
      <w:r>
        <w:rPr>
          <w:rFonts w:ascii="Century Gothic" w:cs="Arial" w:hAnsi="Century Gothic"/>
          <w:i/>
          <w:color w:val="000000"/>
          <w:u w:val="single"/>
        </w:rPr>
        <w:t xml:space="preserve"> (</w:t>
      </w:r>
      <w:r>
        <w:rPr>
          <w:rFonts w:ascii="Century Gothic" w:cs="Arial" w:hAnsi="Century Gothic"/>
          <w:i/>
          <w:color w:val="000000"/>
          <w:u w:val="single"/>
        </w:rPr>
        <w:t>20</w:t>
      </w:r>
      <w:r>
        <w:rPr>
          <w:rFonts w:ascii="Century Gothic" w:cs="Arial" w:hAnsi="Century Gothic"/>
          <w:i/>
          <w:color w:val="000000"/>
          <w:u w:val="single"/>
        </w:rPr>
        <w:t xml:space="preserve">) séances d'information et de sensibilisation sur la sécurisation foncière dans la commune de </w:t>
      </w:r>
      <w:r>
        <w:rPr>
          <w:rFonts w:ascii="Century Gothic" w:cs="Arial" w:hAnsi="Century Gothic"/>
          <w:i/>
          <w:color w:val="000000"/>
          <w:u w:val="single"/>
        </w:rPr>
        <w:t>Tiébélé</w:t>
      </w:r>
    </w:p>
    <w:p>
      <w:pPr>
        <w:pStyle w:val="style0"/>
        <w:tabs>
          <w:tab w:val="left" w:leader="none" w:pos="9214"/>
          <w:tab w:val="left" w:leader="none" w:pos="9639"/>
        </w:tabs>
        <w:jc w:val="both"/>
        <w:rPr>
          <w:rFonts w:ascii="Century Gothic" w:cs="Arial" w:hAnsi="Century Gothic"/>
          <w:i/>
          <w:color w:val="000000"/>
          <w:u w:val="single"/>
        </w:rPr>
      </w:pPr>
    </w:p>
    <w:p>
      <w:pPr>
        <w:pStyle w:val="style0"/>
        <w:tabs>
          <w:tab w:val="left" w:leader="none" w:pos="9214"/>
          <w:tab w:val="left" w:leader="none" w:pos="9639"/>
        </w:tabs>
        <w:jc w:val="both"/>
        <w:rPr>
          <w:rFonts w:ascii="Century Gothic" w:hAnsi="Century Gothic"/>
          <w:i/>
          <w:u w:val="single"/>
        </w:rPr>
      </w:pPr>
      <w:r>
        <w:rPr>
          <w:rFonts w:ascii="Century Gothic" w:hAnsi="Century Gothic"/>
          <w:b/>
          <w:bCs/>
          <w:iCs/>
        </w:rPr>
        <w:t>L’objectif de l’activité</w:t>
      </w:r>
      <w:r>
        <w:rPr>
          <w:rFonts w:ascii="Century Gothic" w:hAnsi="Century Gothic"/>
          <w:bCs/>
        </w:rPr>
        <w:t xml:space="preserve"> est de renforcer </w:t>
      </w:r>
      <w:r>
        <w:rPr>
          <w:rFonts w:ascii="Century Gothic" w:hAnsi="Century Gothic"/>
          <w:bCs/>
        </w:rPr>
        <w:t>l</w:t>
      </w:r>
      <w:r>
        <w:rPr>
          <w:rFonts w:ascii="Century Gothic" w:hAnsi="Century Gothic"/>
          <w:bCs/>
        </w:rPr>
        <w:t>es capacités des populations riveraines sur l</w:t>
      </w:r>
      <w:r>
        <w:rPr>
          <w:rFonts w:ascii="Century Gothic" w:hAnsi="Century Gothic"/>
          <w:bCs/>
        </w:rPr>
        <w:t>’importance de la sécurisation foncière dans un contexte de pression et de conflits fonciers ouverts et latents</w:t>
      </w:r>
      <w:r>
        <w:rPr>
          <w:rFonts w:ascii="Century Gothic" w:hAnsi="Century Gothic"/>
          <w:bCs/>
        </w:rPr>
        <w:t xml:space="preserve">. Cette activité vient renforcer la formation des </w:t>
      </w:r>
      <w:r>
        <w:rPr>
          <w:rFonts w:ascii="Century Gothic" w:hAnsi="Century Gothic"/>
          <w:bCs/>
        </w:rPr>
        <w:t>élus locaux et leaders villageois sur la gouvernance locale des ressources naturelles</w:t>
      </w:r>
      <w:r>
        <w:rPr>
          <w:rFonts w:ascii="Century Gothic" w:hAnsi="Century Gothic"/>
          <w:bCs/>
        </w:rPr>
        <w:t>.</w:t>
      </w:r>
      <w:r>
        <w:rPr>
          <w:rFonts w:ascii="Century Gothic" w:hAnsi="Century Gothic"/>
          <w:bCs/>
        </w:rPr>
        <w:t xml:space="preserve"> </w:t>
      </w:r>
      <w:r>
        <w:rPr>
          <w:rFonts w:ascii="Century Gothic" w:hAnsi="Century Gothic"/>
          <w:bCs/>
        </w:rPr>
        <w:t>L</w:t>
      </w:r>
      <w:r>
        <w:rPr>
          <w:rFonts w:ascii="Century Gothic" w:hAnsi="Century Gothic"/>
          <w:bCs/>
        </w:rPr>
        <w:t xml:space="preserve">es séances seront animées par le service foncier de la Commune en collaboration avec les services techniques et les CVD des villages. </w:t>
      </w:r>
      <w:r>
        <w:rPr>
          <w:rFonts w:ascii="Century Gothic" w:hAnsi="Century Gothic"/>
          <w:b/>
          <w:bCs/>
        </w:rPr>
        <w:t>La méthode</w:t>
      </w:r>
      <w:r>
        <w:rPr>
          <w:rFonts w:ascii="Century Gothic" w:hAnsi="Century Gothic"/>
        </w:rPr>
        <w:t> va se reposer sur la sélection des thématiques, la préparation et l’animation des séances villageoises suivie de question-réponses.</w:t>
      </w:r>
      <w:r>
        <w:rPr>
          <w:rFonts w:ascii="Century Gothic" w:hAnsi="Century Gothic"/>
        </w:rPr>
        <w:t xml:space="preserve"> </w:t>
      </w:r>
      <w:r>
        <w:rPr>
          <w:rFonts w:ascii="Century Gothic" w:hAnsi="Century Gothic"/>
          <w:b/>
          <w:bCs/>
        </w:rPr>
        <w:t>Les résultats attendus </w:t>
      </w:r>
      <w:r>
        <w:rPr>
          <w:rFonts w:ascii="Century Gothic" w:hAnsi="Century Gothic"/>
          <w:bCs/>
        </w:rPr>
        <w:t xml:space="preserve">sont qu’au moins </w:t>
      </w:r>
      <w:r>
        <w:rPr>
          <w:rFonts w:ascii="Century Gothic" w:hAnsi="Century Gothic"/>
          <w:bCs/>
        </w:rPr>
        <w:t>mille</w:t>
      </w:r>
      <w:r>
        <w:rPr>
          <w:rFonts w:ascii="Century Gothic" w:hAnsi="Century Gothic"/>
          <w:bCs/>
        </w:rPr>
        <w:t xml:space="preserve"> (</w:t>
      </w:r>
      <w:r>
        <w:rPr>
          <w:rFonts w:ascii="Century Gothic" w:hAnsi="Century Gothic"/>
          <w:bCs/>
        </w:rPr>
        <w:t>10</w:t>
      </w:r>
      <w:r>
        <w:rPr>
          <w:rFonts w:ascii="Century Gothic" w:hAnsi="Century Gothic"/>
          <w:bCs/>
        </w:rPr>
        <w:t xml:space="preserve">00) personnes </w:t>
      </w:r>
      <w:r>
        <w:rPr>
          <w:rFonts w:ascii="Century Gothic" w:hAnsi="Century Gothic"/>
          <w:bCs/>
        </w:rPr>
        <w:t xml:space="preserve">de la commune de </w:t>
      </w:r>
      <w:r>
        <w:rPr>
          <w:rFonts w:ascii="Century Gothic" w:hAnsi="Century Gothic"/>
          <w:bCs/>
        </w:rPr>
        <w:t>Tiébélé</w:t>
      </w:r>
      <w:r>
        <w:rPr>
          <w:rFonts w:ascii="Century Gothic" w:hAnsi="Century Gothic"/>
          <w:bCs/>
        </w:rPr>
        <w:t xml:space="preserve"> renforcent leurs connaissances sur l</w:t>
      </w:r>
      <w:r>
        <w:rPr>
          <w:rFonts w:ascii="Century Gothic" w:hAnsi="Century Gothic"/>
          <w:bCs/>
        </w:rPr>
        <w:t>’importance de la sécurisation foncière et les procédures d’acquisition des documents de sécurisation foncière</w:t>
      </w:r>
      <w:r>
        <w:rPr>
          <w:rFonts w:ascii="Century Gothic" w:hAnsi="Century Gothic"/>
          <w:bCs/>
        </w:rPr>
        <w:t xml:space="preserve">. </w:t>
      </w:r>
      <w:r>
        <w:rPr>
          <w:rFonts w:ascii="Century Gothic" w:hAnsi="Century Gothic"/>
          <w:b/>
        </w:rPr>
        <w:t>Les moyens matériels</w:t>
      </w:r>
      <w:r>
        <w:rPr>
          <w:rFonts w:ascii="Century Gothic" w:hAnsi="Century Gothic"/>
        </w:rPr>
        <w:t xml:space="preserve"> se résumeront en matériels de sonorisation, chaises pour les animateurs des séances. </w:t>
      </w:r>
      <w:r>
        <w:rPr>
          <w:rFonts w:ascii="Century Gothic" w:hAnsi="Century Gothic"/>
          <w:b/>
        </w:rPr>
        <w:t>Les moyens humains</w:t>
      </w:r>
      <w:r>
        <w:rPr>
          <w:rFonts w:ascii="Century Gothic" w:hAnsi="Century Gothic"/>
          <w:b/>
        </w:rPr>
        <w:t xml:space="preserve"> </w:t>
      </w:r>
      <w:r>
        <w:rPr>
          <w:rFonts w:ascii="Century Gothic" w:hAnsi="Century Gothic"/>
        </w:rPr>
        <w:t xml:space="preserve">seront constitués de l’expertise du service foncier et des personnes ressource sur les chartes foncières. </w:t>
      </w:r>
      <w:r>
        <w:rPr>
          <w:rFonts w:ascii="Century Gothic" w:hAnsi="Century Gothic"/>
          <w:b/>
        </w:rPr>
        <w:t>Les moyens financiers</w:t>
      </w:r>
      <w:r>
        <w:rPr>
          <w:rFonts w:ascii="Century Gothic" w:hAnsi="Century Gothic"/>
        </w:rPr>
        <w:t xml:space="preserve"> seront constitués de frais de prise en charge des animateurs de séances, de rafraîchissement lors des séances. Ces moyens financiers seront assurés par le budget </w:t>
      </w:r>
      <w:r>
        <w:rPr>
          <w:rFonts w:ascii="Century Gothic" w:hAnsi="Century Gothic"/>
        </w:rPr>
        <w:t xml:space="preserve">du PDIC/REDD+ de </w:t>
      </w:r>
      <w:r>
        <w:rPr>
          <w:rFonts w:ascii="Century Gothic" w:hAnsi="Century Gothic"/>
        </w:rPr>
        <w:t>Tiébélé</w:t>
      </w:r>
      <w:r>
        <w:rPr>
          <w:rFonts w:ascii="Century Gothic" w:hAnsi="Century Gothic"/>
        </w:rPr>
        <w:t xml:space="preserve">. </w:t>
      </w:r>
      <w:r>
        <w:rPr>
          <w:rFonts w:ascii="Century Gothic" w:cs="Arial" w:hAnsi="Century Gothic"/>
        </w:rPr>
        <w:t>L’organisation et la gestion de l’activité sera faite par le maire qui assure le rôle de coordination en collaboration avec l’agent domanial et les services techniques et les CVD des villages.</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i/>
          <w:spacing w:val="-1"/>
          <w:u w:val="single"/>
        </w:rPr>
      </w:pPr>
      <w:r>
        <w:rPr>
          <w:rFonts w:ascii="Century Gothic" w:hAnsi="Century Gothic"/>
          <w:bCs/>
          <w:i/>
          <w:u w:val="single"/>
        </w:rPr>
        <w:t>Activité</w:t>
      </w:r>
      <w:r>
        <w:rPr>
          <w:rFonts w:ascii="Century Gothic" w:hAnsi="Century Gothic"/>
          <w:bCs/>
          <w:i/>
          <w:u w:val="single"/>
        </w:rPr>
        <w:t xml:space="preserve"> </w:t>
      </w:r>
      <w:r>
        <w:rPr>
          <w:rFonts w:ascii="Century Gothic" w:hAnsi="Century Gothic"/>
          <w:i/>
          <w:u w:val="single"/>
        </w:rPr>
        <w:t>4.1.2.3</w:t>
      </w:r>
      <w:r>
        <w:rPr>
          <w:rFonts w:ascii="Century Gothic" w:hAnsi="Century Gothic"/>
          <w:i/>
          <w:u w:val="single"/>
        </w:rPr>
        <w:t>.3</w:t>
      </w:r>
      <w:r>
        <w:rPr>
          <w:rFonts w:ascii="Century Gothic" w:hAnsi="Century Gothic"/>
          <w:bCs/>
          <w:u w:val="single"/>
        </w:rPr>
        <w:t xml:space="preserve">. </w:t>
      </w:r>
      <w:r>
        <w:rPr>
          <w:rFonts w:ascii="Century Gothic" w:hAnsi="Century Gothic"/>
          <w:i/>
          <w:u w:val="single"/>
        </w:rPr>
        <w:t>Form</w:t>
      </w:r>
      <w:r>
        <w:rPr>
          <w:rFonts w:ascii="Century Gothic" w:hAnsi="Century Gothic"/>
          <w:i/>
          <w:u w:val="single"/>
        </w:rPr>
        <w:t xml:space="preserve">er </w:t>
      </w:r>
      <w:r>
        <w:rPr>
          <w:rFonts w:ascii="Century Gothic" w:hAnsi="Century Gothic"/>
          <w:i/>
          <w:u w:val="single"/>
        </w:rPr>
        <w:t>3</w:t>
      </w:r>
      <w:r>
        <w:rPr>
          <w:rFonts w:ascii="Century Gothic" w:hAnsi="Century Gothic"/>
          <w:i/>
          <w:u w:val="single"/>
        </w:rPr>
        <w:t>0</w:t>
      </w:r>
      <w:r>
        <w:rPr>
          <w:rFonts w:ascii="Century Gothic" w:hAnsi="Century Gothic"/>
          <w:i/>
          <w:u w:val="single"/>
        </w:rPr>
        <w:t>0 producteurs en technique de plantation et entretien des espèces végétales</w:t>
      </w:r>
      <w:r>
        <w:rPr>
          <w:rFonts w:ascii="Century Gothic" w:hAnsi="Century Gothic"/>
          <w:bCs/>
          <w:i/>
          <w:u w:val="single"/>
        </w:rPr>
        <w:t xml:space="preserve"> dans l’es</w:t>
      </w:r>
      <w:r>
        <w:rPr>
          <w:rFonts w:ascii="Century Gothic" w:hAnsi="Century Gothic"/>
          <w:bCs/>
          <w:i/>
          <w:u w:val="single"/>
        </w:rPr>
        <w:t xml:space="preserve">pace de conservation de </w:t>
      </w:r>
      <w:r>
        <w:rPr>
          <w:rFonts w:ascii="Century Gothic" w:hAnsi="Century Gothic"/>
          <w:bCs/>
          <w:i/>
          <w:u w:val="single"/>
        </w:rPr>
        <w:t>Kaya</w:t>
      </w:r>
      <w:r>
        <w:rPr>
          <w:rFonts w:ascii="Century Gothic" w:hAnsi="Century Gothic"/>
          <w:bCs/>
          <w:i/>
          <w:u w:val="single"/>
        </w:rPr>
        <w:t> </w:t>
      </w:r>
      <w:r>
        <w:rPr>
          <w:rFonts w:ascii="Century Gothic" w:hAnsi="Century Gothic"/>
          <w:i/>
          <w:spacing w:val="-1"/>
          <w:u w:val="single"/>
        </w:rPr>
        <w:t>(villages de Kaya Fabolo, Kaya Kafor et Kaya Navio)</w:t>
      </w:r>
    </w:p>
    <w:p>
      <w:pPr>
        <w:pStyle w:val="style0"/>
        <w:tabs>
          <w:tab w:val="left" w:leader="none" w:pos="1701"/>
          <w:tab w:val="left" w:leader="none" w:pos="9214"/>
          <w:tab w:val="left" w:leader="none" w:pos="9639"/>
        </w:tabs>
        <w:suppressAutoHyphens/>
        <w:jc w:val="both"/>
        <w:rPr>
          <w:rFonts w:ascii="Century Gothic" w:hAnsi="Century Gothic"/>
          <w:u w:val="single"/>
        </w:rPr>
      </w:pPr>
    </w:p>
    <w:p>
      <w:pPr>
        <w:pStyle w:val="style0"/>
        <w:tabs>
          <w:tab w:val="left" w:leader="none" w:pos="9214"/>
          <w:tab w:val="left" w:leader="none" w:pos="9639"/>
        </w:tabs>
        <w:jc w:val="both"/>
        <w:rPr>
          <w:rFonts w:ascii="Century Gothic" w:cs="Arial" w:hAnsi="Century Gothic"/>
        </w:rPr>
      </w:pPr>
      <w:r>
        <w:rPr>
          <w:rFonts w:ascii="Century Gothic" w:hAnsi="Century Gothic"/>
          <w:b/>
        </w:rPr>
        <w:t xml:space="preserve">L’objectif </w:t>
      </w:r>
      <w:r>
        <w:rPr>
          <w:rFonts w:ascii="Century Gothic" w:hAnsi="Century Gothic"/>
        </w:rPr>
        <w:t xml:space="preserve">de cette activité est de contribuer au renforcement des compétences techniques en matière de plantation et d’entretien de plants.  Elle vise d’une part à promouvoir les bonnes pratiques de gestion durable des ressources forestières et d’autre part à consolider le niveau d’engagement des communautés sur l’importance de la conservation des ressources naturelles. </w:t>
      </w:r>
      <w:r>
        <w:rPr>
          <w:rFonts w:ascii="Century Gothic" w:hAnsi="Century Gothic"/>
          <w:b/>
        </w:rPr>
        <w:t>La méthode </w:t>
      </w:r>
      <w:r>
        <w:rPr>
          <w:rFonts w:ascii="Century Gothic" w:hAnsi="Century Gothic"/>
        </w:rPr>
        <w:t>va reposer sur</w:t>
      </w:r>
      <w:r>
        <w:rPr>
          <w:rFonts w:ascii="Century Gothic" w:hAnsi="Century Gothic"/>
          <w:b/>
        </w:rPr>
        <w:t xml:space="preserve"> </w:t>
      </w:r>
      <w:r>
        <w:rPr>
          <w:rFonts w:ascii="Century Gothic" w:hAnsi="Century Gothic"/>
        </w:rPr>
        <w:t xml:space="preserve">la formation </w:t>
      </w:r>
      <w:r>
        <w:rPr>
          <w:rFonts w:ascii="Century Gothic" w:hAnsi="Century Gothic"/>
        </w:rPr>
        <w:t>théorique suivie de la pratique</w:t>
      </w:r>
      <w:r>
        <w:rPr>
          <w:rFonts w:ascii="Century Gothic" w:hAnsi="Century Gothic"/>
        </w:rPr>
        <w:t xml:space="preserve">. L’identification des participants se fera en concertation avec les responsables villageois sur la base du volontariat et qui auront la charge de répliquer la formation à la communauté. </w:t>
      </w:r>
      <w:r>
        <w:rPr>
          <w:rFonts w:ascii="Century Gothic" w:hAnsi="Century Gothic"/>
          <w:b/>
        </w:rPr>
        <w:t xml:space="preserve">Le résultat attendu </w:t>
      </w:r>
      <w:r>
        <w:rPr>
          <w:rFonts w:ascii="Century Gothic" w:hAnsi="Century Gothic"/>
        </w:rPr>
        <w:t>est que</w:t>
      </w:r>
      <w:r>
        <w:rPr>
          <w:rFonts w:ascii="Century Gothic" w:hAnsi="Century Gothic"/>
        </w:rPr>
        <w:t xml:space="preserve"> </w:t>
      </w:r>
      <w:r>
        <w:rPr>
          <w:rFonts w:ascii="Century Gothic" w:hAnsi="Century Gothic"/>
        </w:rPr>
        <w:t>trois</w:t>
      </w:r>
      <w:r>
        <w:rPr>
          <w:rFonts w:ascii="Century Gothic" w:hAnsi="Century Gothic"/>
        </w:rPr>
        <w:t xml:space="preserve">-cent </w:t>
      </w:r>
      <w:r>
        <w:rPr>
          <w:rFonts w:ascii="Century Gothic" w:hAnsi="Century Gothic"/>
        </w:rPr>
        <w:t>(</w:t>
      </w:r>
      <w:r>
        <w:rPr>
          <w:rFonts w:ascii="Century Gothic" w:hAnsi="Century Gothic"/>
        </w:rPr>
        <w:t>3</w:t>
      </w:r>
      <w:r>
        <w:rPr>
          <w:rFonts w:ascii="Century Gothic" w:hAnsi="Century Gothic"/>
        </w:rPr>
        <w:t>0</w:t>
      </w:r>
      <w:r>
        <w:rPr>
          <w:rFonts w:ascii="Century Gothic" w:hAnsi="Century Gothic"/>
        </w:rPr>
        <w:t xml:space="preserve">0) personnes ont renforcé leurs compétences dans la plantation et l’entretien des espèces végétales. </w:t>
      </w:r>
      <w:r>
        <w:rPr>
          <w:rFonts w:ascii="Century Gothic" w:hAnsi="Century Gothic"/>
          <w:b/>
        </w:rPr>
        <w:t>Les moyens humains</w:t>
      </w:r>
      <w:r>
        <w:rPr>
          <w:rFonts w:ascii="Century Gothic" w:hAnsi="Century Gothic"/>
        </w:rPr>
        <w:t xml:space="preserve"> sont constitués de l’expertise technique service de l’environnement. </w:t>
      </w:r>
      <w:r>
        <w:rPr>
          <w:rFonts w:ascii="Century Gothic" w:hAnsi="Century Gothic"/>
          <w:b/>
        </w:rPr>
        <w:t>Les moyens financiers</w:t>
      </w:r>
      <w:r>
        <w:rPr>
          <w:rFonts w:ascii="Century Gothic" w:hAnsi="Century Gothic"/>
        </w:rPr>
        <w:t xml:space="preserve"> seront constitués de frais de prise en charge du formateur et la restauration des participants. Ces moyens financiers seront assurés par le budget du PDIC/REDD+ de </w:t>
      </w:r>
      <w:r>
        <w:rPr>
          <w:rFonts w:ascii="Century Gothic" w:hAnsi="Century Gothic"/>
        </w:rPr>
        <w:t>Tiébélé</w:t>
      </w:r>
      <w:r>
        <w:rPr>
          <w:rFonts w:ascii="Century Gothic" w:hAnsi="Century Gothic"/>
        </w:rPr>
        <w:t xml:space="preserve">. </w:t>
      </w:r>
      <w:r>
        <w:rPr>
          <w:rFonts w:ascii="Century Gothic" w:cs="Arial" w:hAnsi="Century Gothic"/>
        </w:rPr>
        <w:t>L’organisation et la gestion de l’activité sera faite par le maire qui assure le rôle de coordination en collaboration avec l’agent l’environnement et les CVD des villages.</w:t>
      </w:r>
    </w:p>
    <w:p>
      <w:pPr>
        <w:pStyle w:val="style0"/>
        <w:spacing w:after="160" w:lineRule="auto" w:line="259"/>
        <w:rPr>
          <w:rFonts w:ascii="Century Gothic" w:hAnsi="Century Gothic"/>
        </w:rPr>
      </w:pPr>
      <w:r>
        <w:rPr>
          <w:rFonts w:ascii="Century Gothic" w:hAnsi="Century Gothic"/>
        </w:rPr>
        <w:br w:type="page"/>
      </w:r>
    </w:p>
    <w:p>
      <w:pPr>
        <w:pStyle w:val="style0"/>
        <w:tabs>
          <w:tab w:val="left" w:leader="none" w:pos="9214"/>
          <w:tab w:val="left" w:leader="none" w:pos="9639"/>
        </w:tabs>
        <w:jc w:val="both"/>
        <w:rPr>
          <w:rFonts w:ascii="Century Gothic" w:hAnsi="Century Gothic"/>
        </w:rPr>
      </w:pPr>
    </w:p>
    <w:p>
      <w:pPr>
        <w:pStyle w:val="style0"/>
        <w:tabs>
          <w:tab w:val="left" w:leader="none" w:pos="1701"/>
          <w:tab w:val="left" w:leader="none" w:pos="9214"/>
          <w:tab w:val="left" w:leader="none" w:pos="9639"/>
        </w:tabs>
        <w:suppressAutoHyphens/>
        <w:jc w:val="both"/>
        <w:rPr>
          <w:rFonts w:ascii="Century Gothic" w:hAnsi="Century Gothic"/>
          <w:bCs/>
          <w:i/>
        </w:rPr>
      </w:pPr>
      <w:r>
        <w:rPr>
          <w:rFonts w:ascii="Century Gothic" w:hAnsi="Century Gothic"/>
          <w:bCs/>
          <w:i/>
          <w:u w:val="single"/>
        </w:rPr>
        <w:t>Activité</w:t>
      </w:r>
      <w:r>
        <w:rPr>
          <w:rFonts w:ascii="Century Gothic" w:hAnsi="Century Gothic"/>
          <w:bCs/>
          <w:i/>
          <w:u w:val="single"/>
        </w:rPr>
        <w:t xml:space="preserve"> </w:t>
      </w:r>
      <w:r>
        <w:rPr>
          <w:rFonts w:ascii="Century Gothic" w:hAnsi="Century Gothic"/>
          <w:i/>
          <w:u w:val="single"/>
        </w:rPr>
        <w:t>4.1.2.3</w:t>
      </w:r>
      <w:r>
        <w:rPr>
          <w:rFonts w:ascii="Century Gothic" w:hAnsi="Century Gothic"/>
          <w:i/>
          <w:u w:val="single"/>
        </w:rPr>
        <w:t>.</w:t>
      </w:r>
      <w:r>
        <w:rPr>
          <w:rFonts w:ascii="Century Gothic" w:hAnsi="Century Gothic"/>
          <w:i/>
          <w:u w:val="single"/>
        </w:rPr>
        <w:t>4</w:t>
      </w:r>
      <w:r>
        <w:rPr>
          <w:rFonts w:ascii="Century Gothic" w:hAnsi="Century Gothic"/>
          <w:bCs/>
          <w:i/>
          <w:u w:val="single"/>
        </w:rPr>
        <w:t xml:space="preserve">. </w:t>
      </w:r>
      <w:r>
        <w:rPr>
          <w:rFonts w:ascii="Century Gothic" w:hAnsi="Century Gothic"/>
          <w:i/>
          <w:u w:val="single"/>
        </w:rPr>
        <w:t>Form</w:t>
      </w:r>
      <w:r>
        <w:rPr>
          <w:rFonts w:ascii="Century Gothic" w:hAnsi="Century Gothic"/>
          <w:i/>
          <w:u w:val="single"/>
        </w:rPr>
        <w:t>er</w:t>
      </w:r>
      <w:r>
        <w:rPr>
          <w:rFonts w:ascii="Century Gothic" w:hAnsi="Century Gothic"/>
          <w:i/>
          <w:u w:val="single"/>
        </w:rPr>
        <w:t xml:space="preserve"> </w:t>
      </w:r>
      <w:r>
        <w:rPr>
          <w:rFonts w:ascii="Century Gothic" w:hAnsi="Century Gothic"/>
          <w:i/>
          <w:u w:val="single"/>
        </w:rPr>
        <w:t>1</w:t>
      </w:r>
      <w:r>
        <w:rPr>
          <w:rFonts w:ascii="Century Gothic" w:hAnsi="Century Gothic"/>
          <w:i/>
          <w:u w:val="single"/>
        </w:rPr>
        <w:t>5</w:t>
      </w:r>
      <w:r>
        <w:rPr>
          <w:rFonts w:ascii="Century Gothic" w:hAnsi="Century Gothic"/>
          <w:i/>
          <w:u w:val="single"/>
        </w:rPr>
        <w:t xml:space="preserve">0 </w:t>
      </w:r>
      <w:r>
        <w:rPr>
          <w:rFonts w:ascii="Century Gothic" w:hAnsi="Century Gothic"/>
          <w:bCs/>
          <w:i/>
          <w:u w:val="single"/>
        </w:rPr>
        <w:t>producteurs </w:t>
      </w:r>
      <w:r>
        <w:rPr>
          <w:rFonts w:ascii="Century Gothic" w:hAnsi="Century Gothic"/>
          <w:bCs/>
          <w:i/>
          <w:u w:val="single"/>
        </w:rPr>
        <w:t>à la production et à l’utilisation du compost</w:t>
      </w:r>
      <w:r>
        <w:rPr>
          <w:rFonts w:ascii="Century Gothic" w:hAnsi="Century Gothic"/>
          <w:bCs/>
          <w:i/>
          <w:u w:val="single"/>
        </w:rPr>
        <w:t xml:space="preserve"> </w:t>
      </w:r>
      <w:r>
        <w:rPr>
          <w:rFonts w:ascii="Century Gothic" w:hAnsi="Century Gothic"/>
          <w:bCs/>
          <w:i/>
          <w:u w:val="single"/>
        </w:rPr>
        <w:t xml:space="preserve">dans l’espace de </w:t>
      </w:r>
      <w:r>
        <w:rPr>
          <w:rFonts w:ascii="Century Gothic" w:hAnsi="Century Gothic"/>
          <w:bCs/>
          <w:i/>
          <w:u w:val="single"/>
        </w:rPr>
        <w:t xml:space="preserve">conservation de </w:t>
      </w:r>
      <w:r>
        <w:rPr>
          <w:rFonts w:ascii="Century Gothic" w:hAnsi="Century Gothic"/>
          <w:bCs/>
          <w:i/>
          <w:u w:val="single"/>
        </w:rPr>
        <w:t>Kaya</w:t>
      </w:r>
      <w:r>
        <w:rPr>
          <w:rFonts w:ascii="Century Gothic" w:hAnsi="Century Gothic"/>
          <w:bCs/>
          <w:i/>
          <w:u w:val="single"/>
        </w:rPr>
        <w:t> </w:t>
      </w:r>
      <w:r>
        <w:rPr>
          <w:rFonts w:ascii="Century Gothic" w:hAnsi="Century Gothic"/>
          <w:i/>
          <w:spacing w:val="-1"/>
          <w:u w:val="single"/>
        </w:rPr>
        <w:t>(villages de Kaya Fabolo, Kaya Kafor et Kaya Navio)</w:t>
      </w:r>
      <w:r>
        <w:rPr>
          <w:rFonts w:ascii="Century Gothic" w:hAnsi="Century Gothic"/>
          <w:bCs/>
          <w:i/>
        </w:rPr>
        <w:t xml:space="preserve"> </w:t>
      </w:r>
    </w:p>
    <w:p>
      <w:pPr>
        <w:pStyle w:val="style0"/>
        <w:tabs>
          <w:tab w:val="left" w:leader="none" w:pos="1701"/>
          <w:tab w:val="left" w:leader="none" w:pos="9214"/>
          <w:tab w:val="left" w:leader="none" w:pos="9639"/>
        </w:tabs>
        <w:suppressAutoHyphens/>
        <w:jc w:val="both"/>
        <w:rPr>
          <w:rFonts w:ascii="Century Gothic" w:hAnsi="Century Gothic"/>
          <w:bCs/>
          <w:i/>
        </w:rPr>
      </w:pPr>
    </w:p>
    <w:p>
      <w:pPr>
        <w:pStyle w:val="style0"/>
        <w:tabs>
          <w:tab w:val="left" w:leader="none" w:pos="1701"/>
          <w:tab w:val="left" w:leader="none" w:pos="9214"/>
          <w:tab w:val="left" w:leader="none" w:pos="9639"/>
        </w:tabs>
        <w:suppressAutoHyphens/>
        <w:jc w:val="both"/>
        <w:rPr>
          <w:rFonts w:ascii="Century Gothic" w:hAnsi="Century Gothic"/>
          <w:bCs/>
        </w:rPr>
      </w:pPr>
      <w:r>
        <w:rPr>
          <w:rFonts w:ascii="Century Gothic" w:hAnsi="Century Gothic"/>
          <w:b/>
        </w:rPr>
        <w:t xml:space="preserve">L’objectif </w:t>
      </w:r>
      <w:r>
        <w:rPr>
          <w:rFonts w:ascii="Century Gothic" w:hAnsi="Century Gothic"/>
        </w:rPr>
        <w:t xml:space="preserve">de cette activité est de doter les producteurs de compétences leur permettant d’une part de réaliser des fosses fumières et d’autre part de produire du compost et de l’utiliser. </w:t>
      </w:r>
      <w:r>
        <w:rPr>
          <w:rFonts w:ascii="Century Gothic" w:hAnsi="Century Gothic"/>
          <w:b/>
        </w:rPr>
        <w:t>La méthode </w:t>
      </w:r>
      <w:r>
        <w:rPr>
          <w:rFonts w:ascii="Century Gothic" w:hAnsi="Century Gothic"/>
        </w:rPr>
        <w:t>va reposer sur</w:t>
      </w:r>
      <w:r>
        <w:rPr>
          <w:rFonts w:ascii="Century Gothic" w:hAnsi="Century Gothic"/>
          <w:b/>
        </w:rPr>
        <w:t xml:space="preserve"> </w:t>
      </w:r>
      <w:r>
        <w:rPr>
          <w:rFonts w:ascii="Century Gothic" w:hAnsi="Century Gothic"/>
        </w:rPr>
        <w:t xml:space="preserve">la formation théorique suivie de la pratique. L’identification des participants se fera en concertation avec les responsables villageois sur la base du volontariat </w:t>
      </w:r>
      <w:r>
        <w:rPr>
          <w:rFonts w:ascii="Century Gothic" w:hAnsi="Century Gothic"/>
        </w:rPr>
        <w:t xml:space="preserve">(en s’assurant de la participation des six producteurs empiétant les limites de l’espace de conservation) </w:t>
      </w:r>
      <w:r>
        <w:rPr>
          <w:rFonts w:ascii="Century Gothic" w:hAnsi="Century Gothic"/>
        </w:rPr>
        <w:t xml:space="preserve">et qui auront la charge de répliquer la formation à la communauté. </w:t>
      </w:r>
      <w:r>
        <w:rPr>
          <w:rFonts w:ascii="Century Gothic" w:hAnsi="Century Gothic"/>
          <w:b/>
        </w:rPr>
        <w:t>Le résultat attendu</w:t>
      </w:r>
      <w:r>
        <w:rPr>
          <w:rFonts w:ascii="Century Gothic" w:hAnsi="Century Gothic"/>
        </w:rPr>
        <w:t xml:space="preserve"> est qu’à la fin de la formation cent </w:t>
      </w:r>
      <w:r>
        <w:rPr>
          <w:rFonts w:ascii="Century Gothic" w:hAnsi="Century Gothic"/>
        </w:rPr>
        <w:t xml:space="preserve">cinquante </w:t>
      </w:r>
      <w:r>
        <w:rPr>
          <w:rFonts w:ascii="Century Gothic" w:hAnsi="Century Gothic"/>
        </w:rPr>
        <w:t>(1</w:t>
      </w:r>
      <w:r>
        <w:rPr>
          <w:rFonts w:ascii="Century Gothic" w:hAnsi="Century Gothic"/>
        </w:rPr>
        <w:t>5</w:t>
      </w:r>
      <w:r>
        <w:rPr>
          <w:rFonts w:ascii="Century Gothic" w:hAnsi="Century Gothic"/>
        </w:rPr>
        <w:t>0) producteurs renforcent leurs capacités techniques dans la production du compost et de son utilisation.</w:t>
      </w:r>
      <w:r>
        <w:rPr>
          <w:rFonts w:ascii="Century Gothic" w:hAnsi="Century Gothic"/>
          <w:b/>
        </w:rPr>
        <w:t xml:space="preserve"> Les moyens physiques</w:t>
      </w:r>
      <w:r>
        <w:rPr>
          <w:rFonts w:ascii="Century Gothic" w:hAnsi="Century Gothic"/>
        </w:rPr>
        <w:t xml:space="preserve"> se résumeront en matériel et fournitures de formation et les </w:t>
      </w:r>
      <w:r>
        <w:rPr>
          <w:rFonts w:ascii="Century Gothic" w:hAnsi="Century Gothic"/>
          <w:b/>
        </w:rPr>
        <w:t>moyens humains</w:t>
      </w:r>
      <w:r>
        <w:rPr>
          <w:rFonts w:ascii="Century Gothic" w:hAnsi="Century Gothic"/>
        </w:rPr>
        <w:t xml:space="preserve"> sont constitués de l’expertise technique service de l’agriculture. </w:t>
      </w:r>
      <w:r>
        <w:rPr>
          <w:rFonts w:ascii="Century Gothic" w:hAnsi="Century Gothic"/>
          <w:b/>
        </w:rPr>
        <w:t>Les moyens financiers</w:t>
      </w:r>
      <w:r>
        <w:rPr>
          <w:rFonts w:ascii="Century Gothic" w:hAnsi="Century Gothic"/>
        </w:rPr>
        <w:t xml:space="preserve"> seront constitués de frais de formation et le suivi technique à la charge du PDIC/REDD+ de </w:t>
      </w:r>
      <w:r>
        <w:rPr>
          <w:rFonts w:ascii="Century Gothic" w:hAnsi="Century Gothic"/>
        </w:rPr>
        <w:t>Tiébélé</w:t>
      </w:r>
      <w:r>
        <w:rPr>
          <w:rFonts w:ascii="Century Gothic" w:hAnsi="Century Gothic"/>
        </w:rPr>
        <w:t xml:space="preserve">. L’organisation et la gestion de l’activité sera faite par le maire qui assure le rôle de coordination de l’activité en collaboration avec le service de l’agriculture.  </w:t>
      </w:r>
    </w:p>
    <w:p>
      <w:pPr>
        <w:pStyle w:val="style0"/>
        <w:tabs>
          <w:tab w:val="left" w:leader="none" w:pos="9214"/>
          <w:tab w:val="left" w:leader="none" w:pos="9639"/>
        </w:tabs>
        <w:jc w:val="both"/>
        <w:rPr>
          <w:rFonts w:ascii="Century Gothic" w:hAnsi="Century Gothic"/>
        </w:rPr>
      </w:pPr>
    </w:p>
    <w:p>
      <w:pPr>
        <w:pStyle w:val="style179"/>
        <w:tabs>
          <w:tab w:val="left" w:leader="none" w:pos="9214"/>
          <w:tab w:val="left" w:leader="none" w:pos="9639"/>
        </w:tabs>
        <w:ind w:left="0"/>
        <w:jc w:val="both"/>
        <w:rPr>
          <w:rFonts w:ascii="Century Gothic" w:hAnsi="Century Gothic"/>
          <w:i/>
          <w:u w:val="single"/>
        </w:rPr>
      </w:pPr>
      <w:r>
        <w:rPr>
          <w:rFonts w:ascii="Century Gothic" w:hAnsi="Century Gothic"/>
          <w:bCs/>
          <w:i/>
          <w:u w:val="single"/>
        </w:rPr>
        <w:t>Activité</w:t>
      </w:r>
      <w:r>
        <w:rPr>
          <w:rFonts w:ascii="Century Gothic" w:hAnsi="Century Gothic"/>
          <w:bCs/>
          <w:i/>
          <w:u w:val="single"/>
        </w:rPr>
        <w:t xml:space="preserve"> </w:t>
      </w:r>
      <w:r>
        <w:rPr>
          <w:rFonts w:ascii="Century Gothic" w:hAnsi="Century Gothic"/>
          <w:i/>
          <w:u w:val="single"/>
        </w:rPr>
        <w:t>4.1.2.3</w:t>
      </w:r>
      <w:r>
        <w:rPr>
          <w:rFonts w:ascii="Century Gothic" w:hAnsi="Century Gothic"/>
          <w:i/>
          <w:u w:val="single"/>
        </w:rPr>
        <w:t>.</w:t>
      </w:r>
      <w:r>
        <w:rPr>
          <w:rFonts w:ascii="Century Gothic" w:hAnsi="Century Gothic"/>
          <w:i/>
          <w:u w:val="single"/>
        </w:rPr>
        <w:t>5</w:t>
      </w:r>
      <w:r>
        <w:rPr>
          <w:rFonts w:ascii="Century Gothic" w:hAnsi="Century Gothic"/>
          <w:bCs/>
          <w:i/>
          <w:u w:val="single"/>
        </w:rPr>
        <w:t xml:space="preserve">. </w:t>
      </w:r>
      <w:r>
        <w:rPr>
          <w:rFonts w:ascii="Century Gothic" w:hAnsi="Century Gothic"/>
          <w:i/>
          <w:u w:val="single"/>
        </w:rPr>
        <w:t>Form</w:t>
      </w:r>
      <w:r>
        <w:rPr>
          <w:rFonts w:ascii="Century Gothic" w:hAnsi="Century Gothic"/>
          <w:i/>
          <w:u w:val="single"/>
        </w:rPr>
        <w:t xml:space="preserve">er </w:t>
      </w:r>
      <w:r>
        <w:rPr>
          <w:rFonts w:ascii="Century Gothic" w:hAnsi="Century Gothic"/>
          <w:i/>
          <w:u w:val="single"/>
        </w:rPr>
        <w:t>1</w:t>
      </w:r>
      <w:r>
        <w:rPr>
          <w:rFonts w:ascii="Century Gothic" w:hAnsi="Century Gothic"/>
          <w:i/>
          <w:u w:val="single"/>
        </w:rPr>
        <w:t>5</w:t>
      </w:r>
      <w:r>
        <w:rPr>
          <w:rFonts w:ascii="Century Gothic" w:hAnsi="Century Gothic"/>
          <w:i/>
          <w:u w:val="single"/>
        </w:rPr>
        <w:t>0 producteurs en technique de fauche et de conservation de fourrage naturel</w:t>
      </w:r>
      <w:r>
        <w:rPr>
          <w:rFonts w:ascii="Century Gothic" w:hAnsi="Century Gothic"/>
          <w:i/>
          <w:u w:val="single"/>
        </w:rPr>
        <w:t xml:space="preserve"> </w:t>
      </w:r>
      <w:r>
        <w:rPr>
          <w:rFonts w:ascii="Century Gothic" w:hAnsi="Century Gothic"/>
          <w:bCs/>
          <w:i/>
          <w:u w:val="single"/>
        </w:rPr>
        <w:t>dans l’es</w:t>
      </w:r>
      <w:r>
        <w:rPr>
          <w:rFonts w:ascii="Century Gothic" w:hAnsi="Century Gothic"/>
          <w:bCs/>
          <w:i/>
          <w:u w:val="single"/>
        </w:rPr>
        <w:t xml:space="preserve">pace de conservation de </w:t>
      </w:r>
      <w:r>
        <w:rPr>
          <w:rFonts w:ascii="Century Gothic" w:hAnsi="Century Gothic"/>
          <w:bCs/>
          <w:i/>
          <w:u w:val="single"/>
        </w:rPr>
        <w:t>Kaya</w:t>
      </w:r>
      <w:r>
        <w:rPr>
          <w:rFonts w:ascii="Century Gothic" w:hAnsi="Century Gothic"/>
          <w:bCs/>
          <w:i/>
          <w:u w:val="single"/>
        </w:rPr>
        <w:t xml:space="preserve">  </w:t>
      </w:r>
      <w:r>
        <w:rPr>
          <w:rFonts w:ascii="Century Gothic" w:hAnsi="Century Gothic"/>
          <w:i/>
          <w:spacing w:val="-1"/>
          <w:u w:val="single"/>
        </w:rPr>
        <w:t>(villages de Kaya Fabolo, Kaya Kafor et Kaya Navio)</w:t>
      </w:r>
    </w:p>
    <w:p>
      <w:pPr>
        <w:pStyle w:val="style179"/>
        <w:tabs>
          <w:tab w:val="left" w:leader="none" w:pos="9214"/>
          <w:tab w:val="left" w:leader="none" w:pos="9639"/>
        </w:tabs>
        <w:ind w:left="0"/>
        <w:jc w:val="both"/>
        <w:rPr>
          <w:rFonts w:ascii="Century Gothic" w:hAnsi="Century Gothic"/>
          <w:i/>
          <w:u w:val="single"/>
        </w:rPr>
      </w:pPr>
    </w:p>
    <w:p>
      <w:pPr>
        <w:pStyle w:val="style179"/>
        <w:tabs>
          <w:tab w:val="left" w:leader="none" w:pos="9214"/>
          <w:tab w:val="left" w:leader="none" w:pos="9639"/>
        </w:tabs>
        <w:ind w:left="0"/>
        <w:jc w:val="both"/>
        <w:rPr>
          <w:rFonts w:ascii="Century Gothic" w:hAnsi="Century Gothic"/>
        </w:rPr>
      </w:pPr>
      <w:r>
        <w:rPr>
          <w:rFonts w:ascii="Century Gothic" w:hAnsi="Century Gothic"/>
          <w:b/>
        </w:rPr>
        <w:t xml:space="preserve">L’objectif </w:t>
      </w:r>
      <w:r>
        <w:rPr>
          <w:rFonts w:ascii="Century Gothic" w:hAnsi="Century Gothic"/>
        </w:rPr>
        <w:t xml:space="preserve">de cette activité est de contribuer au renforcement des capacités techniques de fauche et de conservation du fourrage naturel des producteurs. Afin de rendre disponible le fourrage naturel pour l’alimentation du bétail en saison sèche réduisant ainsi la pression de celui-ci sur les espaces de conservation, les éleveurs doivent acquérir de bonnes pratiques de récolte et de conservation du fourrage. </w:t>
      </w:r>
      <w:r>
        <w:rPr>
          <w:rFonts w:ascii="Century Gothic" w:hAnsi="Century Gothic"/>
          <w:b/>
        </w:rPr>
        <w:t>La méthode </w:t>
      </w:r>
      <w:r>
        <w:rPr>
          <w:rFonts w:ascii="Century Gothic" w:hAnsi="Century Gothic"/>
        </w:rPr>
        <w:t>va reposer sur</w:t>
      </w:r>
      <w:r>
        <w:rPr>
          <w:rFonts w:ascii="Century Gothic" w:hAnsi="Century Gothic"/>
          <w:b/>
        </w:rPr>
        <w:t xml:space="preserve"> </w:t>
      </w:r>
      <w:r>
        <w:rPr>
          <w:rFonts w:ascii="Century Gothic" w:hAnsi="Century Gothic"/>
        </w:rPr>
        <w:t xml:space="preserve">la formation théorique suivie de la pratique. L’identification des participants se fera en concertation avec les responsables villageois sur la base du volontariat et qui auront la charge de répliquer la formation à la communauté. </w:t>
      </w:r>
      <w:r>
        <w:rPr>
          <w:rFonts w:ascii="Century Gothic" w:hAnsi="Century Gothic"/>
          <w:b/>
        </w:rPr>
        <w:t xml:space="preserve">Le résultat attendu </w:t>
      </w:r>
      <w:r>
        <w:rPr>
          <w:rFonts w:ascii="Century Gothic" w:hAnsi="Century Gothic"/>
        </w:rPr>
        <w:t xml:space="preserve">est que cent (100) producteurs renforcent leurs compétences en matière de fauche et de conservation du fourrage naturel. </w:t>
      </w:r>
      <w:r>
        <w:rPr>
          <w:rFonts w:ascii="Century Gothic" w:hAnsi="Century Gothic"/>
          <w:b/>
        </w:rPr>
        <w:t>Les moyens physiques</w:t>
      </w:r>
      <w:r>
        <w:rPr>
          <w:rFonts w:ascii="Century Gothic" w:hAnsi="Century Gothic"/>
        </w:rPr>
        <w:t xml:space="preserve"> se résument en matériel et fournitures de formation et les </w:t>
      </w:r>
      <w:r>
        <w:rPr>
          <w:rFonts w:ascii="Century Gothic" w:hAnsi="Century Gothic"/>
          <w:b/>
        </w:rPr>
        <w:t>moyens humains</w:t>
      </w:r>
      <w:r>
        <w:rPr>
          <w:rFonts w:ascii="Century Gothic" w:hAnsi="Century Gothic"/>
        </w:rPr>
        <w:t xml:space="preserve"> sont constitués de l’expertise technique du formateur. </w:t>
      </w:r>
      <w:r>
        <w:rPr>
          <w:rFonts w:ascii="Century Gothic" w:hAnsi="Century Gothic"/>
          <w:b/>
        </w:rPr>
        <w:t>Les moyens financiers</w:t>
      </w:r>
      <w:r>
        <w:rPr>
          <w:rFonts w:ascii="Century Gothic" w:hAnsi="Century Gothic"/>
        </w:rPr>
        <w:t xml:space="preserve"> seront constitués de frais de prise du formateur et des participants. Ces ressources seront financées par le budget du PDIC/REDD+ de </w:t>
      </w:r>
      <w:r>
        <w:rPr>
          <w:rFonts w:ascii="Century Gothic" w:hAnsi="Century Gothic"/>
        </w:rPr>
        <w:t>Tiébélé</w:t>
      </w:r>
      <w:r>
        <w:rPr>
          <w:rFonts w:ascii="Century Gothic" w:hAnsi="Century Gothic"/>
        </w:rPr>
        <w:t xml:space="preserve">. L’organisation et la gestion de l’activité sera faite par le maire qui assure le rôle de coordination de l’activité.  </w:t>
      </w:r>
    </w:p>
    <w:p>
      <w:pPr>
        <w:pStyle w:val="style179"/>
        <w:tabs>
          <w:tab w:val="left" w:leader="none" w:pos="9214"/>
          <w:tab w:val="left" w:leader="none" w:pos="9639"/>
        </w:tabs>
        <w:ind w:left="0"/>
        <w:jc w:val="both"/>
        <w:rPr>
          <w:rFonts w:ascii="Century Gothic" w:hAnsi="Century Gothic"/>
          <w:bCs/>
          <w:i/>
          <w:u w:val="single"/>
        </w:rPr>
      </w:pPr>
    </w:p>
    <w:p>
      <w:pPr>
        <w:pStyle w:val="style179"/>
        <w:tabs>
          <w:tab w:val="left" w:leader="none" w:pos="9214"/>
          <w:tab w:val="left" w:leader="none" w:pos="9639"/>
        </w:tabs>
        <w:ind w:left="0"/>
        <w:jc w:val="both"/>
        <w:rPr>
          <w:rFonts w:ascii="Century Gothic" w:hAnsi="Century Gothic"/>
          <w:bCs/>
          <w:i/>
          <w:color w:val="000000"/>
          <w:u w:val="single"/>
        </w:rPr>
      </w:pPr>
      <w:r>
        <w:rPr>
          <w:rFonts w:ascii="Century Gothic" w:hAnsi="Century Gothic"/>
          <w:bCs/>
          <w:i/>
          <w:u w:val="single"/>
        </w:rPr>
        <w:t xml:space="preserve">Activité </w:t>
      </w:r>
      <w:r>
        <w:rPr>
          <w:rFonts w:ascii="Century Gothic" w:hAnsi="Century Gothic"/>
          <w:i/>
          <w:u w:val="single"/>
        </w:rPr>
        <w:t>4.1.2.3.6</w:t>
      </w:r>
      <w:r>
        <w:rPr>
          <w:rFonts w:ascii="Century Gothic" w:hAnsi="Century Gothic"/>
          <w:bCs/>
          <w:i/>
          <w:u w:val="single"/>
        </w:rPr>
        <w:t xml:space="preserve">. </w:t>
      </w:r>
      <w:r>
        <w:rPr>
          <w:rFonts w:ascii="Century Gothic" w:hAnsi="Century Gothic"/>
          <w:bCs/>
          <w:i/>
          <w:color w:val="000000"/>
          <w:u w:val="single"/>
        </w:rPr>
        <w:t xml:space="preserve">Former 20 producteurs en techniques apicoles modernes </w:t>
      </w:r>
      <w:r>
        <w:rPr>
          <w:rFonts w:ascii="Century Gothic" w:hAnsi="Century Gothic"/>
          <w:bCs/>
          <w:i/>
          <w:u w:val="single"/>
        </w:rPr>
        <w:t xml:space="preserve">dans l’espace de conservation de </w:t>
      </w:r>
      <w:r>
        <w:rPr>
          <w:rFonts w:ascii="Century Gothic" w:hAnsi="Century Gothic"/>
          <w:bCs/>
          <w:i/>
          <w:u w:val="single"/>
        </w:rPr>
        <w:t>Kaya</w:t>
      </w:r>
      <w:r>
        <w:rPr>
          <w:rFonts w:ascii="Century Gothic" w:hAnsi="Century Gothic"/>
          <w:bCs/>
          <w:i/>
          <w:u w:val="single"/>
        </w:rPr>
        <w:t>.</w:t>
      </w:r>
    </w:p>
    <w:p>
      <w:pPr>
        <w:pStyle w:val="style179"/>
        <w:tabs>
          <w:tab w:val="left" w:leader="none" w:pos="9214"/>
          <w:tab w:val="left" w:leader="none" w:pos="9639"/>
        </w:tabs>
        <w:ind w:left="0"/>
        <w:jc w:val="both"/>
        <w:rPr>
          <w:rFonts w:ascii="Century Gothic" w:hAnsi="Century Gothic"/>
          <w:bCs/>
          <w:i/>
          <w:color w:val="000000"/>
          <w:u w:val="single"/>
        </w:rPr>
      </w:pPr>
    </w:p>
    <w:p>
      <w:pPr>
        <w:pStyle w:val="style179"/>
        <w:tabs>
          <w:tab w:val="left" w:leader="none" w:pos="9214"/>
          <w:tab w:val="left" w:leader="none" w:pos="9639"/>
        </w:tabs>
        <w:ind w:left="0"/>
        <w:jc w:val="both"/>
        <w:rPr>
          <w:rFonts w:ascii="Century Gothic" w:hAnsi="Century Gothic"/>
        </w:rPr>
      </w:pPr>
      <w:r>
        <w:rPr>
          <w:rFonts w:ascii="Century Gothic" w:hAnsi="Century Gothic"/>
          <w:b/>
          <w:bCs/>
          <w:color w:val="000000"/>
        </w:rPr>
        <w:t xml:space="preserve">L’objectif </w:t>
      </w:r>
      <w:r>
        <w:rPr>
          <w:rFonts w:ascii="Century Gothic" w:hAnsi="Century Gothic"/>
          <w:bCs/>
          <w:color w:val="000000"/>
        </w:rPr>
        <w:t xml:space="preserve">est de former 20 personnes en techniques modernes de production apicoles. </w:t>
      </w:r>
      <w:r>
        <w:rPr>
          <w:rFonts w:ascii="Century Gothic" w:hAnsi="Century Gothic"/>
          <w:b/>
          <w:bCs/>
          <w:color w:val="000000"/>
        </w:rPr>
        <w:t>La méthode </w:t>
      </w:r>
      <w:r>
        <w:rPr>
          <w:rFonts w:ascii="Century Gothic" w:hAnsi="Century Gothic"/>
          <w:bCs/>
          <w:color w:val="000000"/>
        </w:rPr>
        <w:t>va reposer sur la sélection des bénéficiaires, l’organisation théorique et pratique de la formation qui durera cinq jours</w:t>
      </w:r>
      <w:r>
        <w:rPr>
          <w:rFonts w:ascii="Century Gothic" w:hAnsi="Century Gothic"/>
          <w:b/>
          <w:bCs/>
          <w:color w:val="000000"/>
        </w:rPr>
        <w:t xml:space="preserve">. </w:t>
      </w:r>
      <w:r>
        <w:rPr>
          <w:rFonts w:ascii="Century Gothic" w:hAnsi="Century Gothic"/>
          <w:bCs/>
          <w:color w:val="000000"/>
        </w:rPr>
        <w:t xml:space="preserve">Les apprenants constitués de 12 femmes et de 8 jeunes seront désignés de manière concertée avec </w:t>
      </w:r>
      <w:r>
        <w:rPr>
          <w:rFonts w:ascii="Century Gothic" w:hAnsi="Century Gothic"/>
          <w:bCs/>
          <w:color w:val="000000"/>
        </w:rPr>
        <w:t xml:space="preserve">le STD </w:t>
      </w:r>
      <w:r>
        <w:rPr>
          <w:rFonts w:ascii="Century Gothic" w:hAnsi="Century Gothic"/>
          <w:bCs/>
          <w:color w:val="000000"/>
        </w:rPr>
        <w:t>de l’</w:t>
      </w:r>
      <w:r>
        <w:rPr>
          <w:rFonts w:ascii="Century Gothic" w:hAnsi="Century Gothic"/>
          <w:bCs/>
          <w:color w:val="000000"/>
        </w:rPr>
        <w:t xml:space="preserve">élevage, les CVD des villages et le Responsable Environnement et Développement Local de la mairie de </w:t>
      </w:r>
      <w:r>
        <w:rPr>
          <w:rFonts w:ascii="Century Gothic" w:hAnsi="Century Gothic"/>
          <w:bCs/>
          <w:color w:val="000000"/>
        </w:rPr>
        <w:t>Tiébélé</w:t>
      </w:r>
      <w:r>
        <w:rPr>
          <w:rFonts w:ascii="Century Gothic" w:hAnsi="Century Gothic"/>
          <w:bCs/>
          <w:color w:val="000000"/>
        </w:rPr>
        <w:t xml:space="preserve">. </w:t>
      </w:r>
      <w:r>
        <w:rPr>
          <w:rFonts w:ascii="Century Gothic" w:hAnsi="Century Gothic"/>
          <w:b/>
          <w:bCs/>
          <w:color w:val="000000"/>
        </w:rPr>
        <w:t>Les r</w:t>
      </w:r>
      <w:r>
        <w:rPr>
          <w:rFonts w:ascii="Century Gothic" w:hAnsi="Century Gothic"/>
          <w:b/>
          <w:bCs/>
          <w:color w:val="000000"/>
        </w:rPr>
        <w:t>ésultats attendus</w:t>
      </w:r>
      <w:r>
        <w:rPr>
          <w:rFonts w:ascii="Century Gothic" w:hAnsi="Century Gothic"/>
          <w:bCs/>
          <w:color w:val="000000"/>
        </w:rPr>
        <w:t> </w:t>
      </w:r>
      <w:r>
        <w:rPr>
          <w:rFonts w:ascii="Century Gothic" w:hAnsi="Century Gothic"/>
          <w:bCs/>
          <w:color w:val="000000"/>
        </w:rPr>
        <w:t xml:space="preserve">sont que </w:t>
      </w:r>
      <w:r>
        <w:rPr>
          <w:rFonts w:ascii="Century Gothic" w:hAnsi="Century Gothic"/>
          <w:bCs/>
          <w:color w:val="000000"/>
        </w:rPr>
        <w:t xml:space="preserve">12 femmes et 8 jeunes sont formés en techniques apicoles modernes. </w:t>
      </w:r>
      <w:r>
        <w:rPr>
          <w:rFonts w:ascii="Century Gothic" w:hAnsi="Century Gothic"/>
          <w:b/>
        </w:rPr>
        <w:t>Les moyens physiques</w:t>
      </w:r>
      <w:r>
        <w:rPr>
          <w:rFonts w:ascii="Century Gothic" w:hAnsi="Century Gothic"/>
        </w:rPr>
        <w:t xml:space="preserve"> se résume</w:t>
      </w:r>
      <w:r>
        <w:rPr>
          <w:rFonts w:ascii="Century Gothic" w:hAnsi="Century Gothic"/>
        </w:rPr>
        <w:t xml:space="preserve">nt en matériel et fournitures de formation et les </w:t>
      </w:r>
      <w:r>
        <w:rPr>
          <w:rFonts w:ascii="Century Gothic" w:hAnsi="Century Gothic"/>
          <w:b/>
        </w:rPr>
        <w:t>moyens humains</w:t>
      </w:r>
      <w:r>
        <w:rPr>
          <w:rFonts w:ascii="Century Gothic" w:hAnsi="Century Gothic"/>
        </w:rPr>
        <w:t xml:space="preserve"> sont constitués de l’expertise technique du formateur. </w:t>
      </w:r>
      <w:r>
        <w:rPr>
          <w:rFonts w:ascii="Century Gothic" w:hAnsi="Century Gothic"/>
          <w:b/>
        </w:rPr>
        <w:t>Les moyens financiers</w:t>
      </w:r>
      <w:r>
        <w:rPr>
          <w:rFonts w:ascii="Century Gothic" w:hAnsi="Century Gothic"/>
        </w:rPr>
        <w:t xml:space="preserve"> seront constitués de frais de prise du formateur et des participants. Ces ressources seront financées par le budget du PDIC/REDD+ de </w:t>
      </w:r>
      <w:r>
        <w:rPr>
          <w:rFonts w:ascii="Century Gothic" w:hAnsi="Century Gothic"/>
        </w:rPr>
        <w:t>Tiébélé</w:t>
      </w:r>
      <w:r>
        <w:rPr>
          <w:rFonts w:ascii="Century Gothic" w:hAnsi="Century Gothic"/>
        </w:rPr>
        <w:t>. L’organisation et la gestion de l’activité sera faite par le maire qui assure le rôle de coordination de l’activité.</w:t>
      </w:r>
    </w:p>
    <w:p>
      <w:pPr>
        <w:pStyle w:val="style179"/>
        <w:tabs>
          <w:tab w:val="left" w:leader="none" w:pos="9214"/>
          <w:tab w:val="left" w:leader="none" w:pos="9639"/>
        </w:tabs>
        <w:ind w:left="0"/>
        <w:jc w:val="both"/>
        <w:rPr>
          <w:rFonts w:ascii="Century Gothic" w:hAnsi="Century Gothic"/>
        </w:rPr>
      </w:pPr>
      <w:r>
        <w:rPr>
          <w:rFonts w:ascii="Century Gothic" w:hAnsi="Century Gothic"/>
        </w:rPr>
        <w:t xml:space="preserve">  </w:t>
      </w:r>
    </w:p>
    <w:p>
      <w:pPr>
        <w:pStyle w:val="style0"/>
        <w:tabs>
          <w:tab w:val="left" w:leader="none" w:pos="9214"/>
          <w:tab w:val="left" w:leader="none" w:pos="9639"/>
        </w:tabs>
        <w:jc w:val="both"/>
        <w:rPr>
          <w:rFonts w:ascii="Century Gothic" w:hAnsi="Century Gothic"/>
          <w:bCs/>
        </w:rPr>
      </w:pPr>
      <w:r>
        <w:rPr>
          <w:rFonts w:ascii="Century Gothic" w:hAnsi="Century Gothic"/>
          <w:bCs/>
          <w:i/>
          <w:u w:val="single"/>
        </w:rPr>
        <w:t xml:space="preserve">Activité </w:t>
      </w:r>
      <w:r>
        <w:rPr>
          <w:rFonts w:ascii="Century Gothic" w:hAnsi="Century Gothic"/>
          <w:i/>
          <w:u w:val="single"/>
        </w:rPr>
        <w:t>4.1.2.3.7</w:t>
      </w:r>
      <w:r>
        <w:rPr>
          <w:rFonts w:ascii="Century Gothic" w:hAnsi="Century Gothic"/>
          <w:bCs/>
          <w:i/>
          <w:u w:val="single"/>
        </w:rPr>
        <w:t xml:space="preserve">. </w:t>
      </w:r>
      <w:r>
        <w:rPr>
          <w:rFonts w:ascii="Century Gothic" w:hAnsi="Century Gothic"/>
          <w:i/>
          <w:u w:val="single"/>
        </w:rPr>
        <w:t>F</w:t>
      </w:r>
      <w:r>
        <w:rPr>
          <w:rFonts w:ascii="Century Gothic" w:hAnsi="Century Gothic"/>
          <w:bCs/>
          <w:i/>
          <w:u w:val="single"/>
        </w:rPr>
        <w:t xml:space="preserve">ormer </w:t>
      </w:r>
      <w:r>
        <w:rPr>
          <w:rFonts w:ascii="Century Gothic" w:hAnsi="Century Gothic"/>
          <w:bCs/>
          <w:i/>
          <w:u w:val="single"/>
        </w:rPr>
        <w:t>5</w:t>
      </w:r>
      <w:r>
        <w:rPr>
          <w:rFonts w:ascii="Century Gothic" w:hAnsi="Century Gothic"/>
          <w:bCs/>
          <w:i/>
          <w:u w:val="single"/>
        </w:rPr>
        <w:t>0 membres de l</w:t>
      </w:r>
      <w:r>
        <w:rPr>
          <w:rFonts w:ascii="Century Gothic" w:hAnsi="Century Gothic"/>
          <w:bCs/>
          <w:i/>
          <w:u w:val="single"/>
        </w:rPr>
        <w:t>’union des</w:t>
      </w:r>
      <w:r>
        <w:rPr>
          <w:rFonts w:ascii="Century Gothic" w:hAnsi="Century Gothic"/>
          <w:bCs/>
          <w:i/>
          <w:u w:val="single"/>
        </w:rPr>
        <w:t xml:space="preserve"> SCOOP </w:t>
      </w:r>
      <w:r>
        <w:rPr>
          <w:rFonts w:ascii="Century Gothic" w:hAnsi="Century Gothic"/>
          <w:i/>
          <w:u w:val="single"/>
        </w:rPr>
        <w:t>KOUDJIGUI-TINA</w:t>
      </w:r>
      <w:r>
        <w:rPr>
          <w:rFonts w:ascii="Century Gothic" w:hAnsi="Century Gothic"/>
          <w:bCs/>
          <w:i/>
          <w:u w:val="single"/>
        </w:rPr>
        <w:t xml:space="preserve"> </w:t>
      </w:r>
      <w:r>
        <w:rPr>
          <w:rFonts w:ascii="Century Gothic" w:hAnsi="Century Gothic"/>
          <w:bCs/>
          <w:i/>
          <w:u w:val="single"/>
        </w:rPr>
        <w:t xml:space="preserve">de Tiébélé </w:t>
      </w:r>
      <w:r>
        <w:rPr>
          <w:rFonts w:ascii="Century Gothic" w:hAnsi="Century Gothic"/>
          <w:bCs/>
          <w:i/>
          <w:u w:val="single"/>
        </w:rPr>
        <w:t>en techniques de production, de transformation et de commercialisation des PFNL dans l’espace de conservation de Kaya</w:t>
      </w:r>
      <w:r>
        <w:rPr>
          <w:rFonts w:ascii="Century Gothic" w:hAnsi="Century Gothic"/>
          <w:bCs/>
        </w:rPr>
        <w:t xml:space="preserve">. </w:t>
      </w:r>
    </w:p>
    <w:p>
      <w:pPr>
        <w:pStyle w:val="style0"/>
        <w:tabs>
          <w:tab w:val="left" w:leader="none" w:pos="9214"/>
          <w:tab w:val="left" w:leader="none" w:pos="9639"/>
        </w:tabs>
        <w:jc w:val="both"/>
        <w:rPr>
          <w:rFonts w:ascii="Century Gothic" w:hAnsi="Century Gothic"/>
          <w:bCs/>
        </w:rPr>
      </w:pPr>
    </w:p>
    <w:p>
      <w:pPr>
        <w:pStyle w:val="style0"/>
        <w:tabs>
          <w:tab w:val="left" w:leader="none" w:pos="9214"/>
          <w:tab w:val="left" w:leader="none" w:pos="9639"/>
        </w:tabs>
        <w:jc w:val="both"/>
        <w:rPr>
          <w:rFonts w:ascii="Century Gothic" w:hAnsi="Century Gothic"/>
          <w:bCs/>
        </w:rPr>
      </w:pPr>
      <w:r>
        <w:rPr>
          <w:rFonts w:ascii="Century Gothic" w:hAnsi="Century Gothic"/>
          <w:b/>
        </w:rPr>
        <w:t>L’objectif</w:t>
      </w:r>
      <w:r>
        <w:rPr>
          <w:rFonts w:ascii="Century Gothic" w:hAnsi="Century Gothic"/>
        </w:rPr>
        <w:t xml:space="preserve"> de cette activité est de contribuer au renforcement des capacités techniques de production/cueillette et de transformation des PFNL des membres </w:t>
      </w:r>
      <w:r>
        <w:rPr>
          <w:rFonts w:ascii="Century Gothic" w:hAnsi="Century Gothic"/>
          <w:bCs/>
        </w:rPr>
        <w:t xml:space="preserve">de la SCOOP </w:t>
      </w:r>
      <w:r>
        <w:rPr>
          <w:rFonts w:ascii="Century Gothic" w:hAnsi="Century Gothic"/>
        </w:rPr>
        <w:t xml:space="preserve">KOUDJIGUI-TINA. Elle vise d’une part la gestion rationnelle des ressources forestières en adoptant de meilleures pratiques de cueillette et d’autre part l’acquisition de techniques modernes de transformation du beurre de karité et du </w:t>
      </w:r>
      <w:r>
        <w:rPr>
          <w:rFonts w:ascii="Century Gothic" w:hAnsi="Century Gothic"/>
          <w:i/>
        </w:rPr>
        <w:t>soumbala</w:t>
      </w:r>
      <w:r>
        <w:rPr>
          <w:rFonts w:ascii="Century Gothic" w:hAnsi="Century Gothic"/>
        </w:rPr>
        <w:t xml:space="preserve">. </w:t>
      </w:r>
      <w:r>
        <w:rPr>
          <w:rFonts w:ascii="Century Gothic" w:hAnsi="Century Gothic"/>
          <w:b/>
          <w:bCs/>
        </w:rPr>
        <w:t>Méthode</w:t>
      </w:r>
      <w:r>
        <w:rPr>
          <w:rFonts w:ascii="Century Gothic" w:hAnsi="Century Gothic"/>
          <w:bCs/>
        </w:rPr>
        <w:t> : L’activité sera décomposée en 2 sous activités.</w:t>
      </w:r>
    </w:p>
    <w:p>
      <w:pPr>
        <w:pStyle w:val="style179"/>
        <w:numPr>
          <w:ilvl w:val="0"/>
          <w:numId w:val="6"/>
        </w:numPr>
        <w:tabs>
          <w:tab w:val="left" w:leader="none" w:pos="9214"/>
          <w:tab w:val="left" w:leader="none" w:pos="9639"/>
        </w:tabs>
        <w:jc w:val="both"/>
        <w:rPr>
          <w:rFonts w:ascii="Century Gothic" w:hAnsi="Century Gothic"/>
        </w:rPr>
      </w:pPr>
      <w:r>
        <w:rPr>
          <w:rFonts w:ascii="Century Gothic" w:hAnsi="Century Gothic"/>
        </w:rPr>
        <w:t>Formation/sensibilisation en technique de cueillette et de conservation des PFNL,</w:t>
      </w:r>
    </w:p>
    <w:p>
      <w:pPr>
        <w:pStyle w:val="style179"/>
        <w:numPr>
          <w:ilvl w:val="0"/>
          <w:numId w:val="6"/>
        </w:numPr>
        <w:tabs>
          <w:tab w:val="left" w:leader="none" w:pos="9214"/>
          <w:tab w:val="left" w:leader="none" w:pos="9639"/>
        </w:tabs>
        <w:jc w:val="both"/>
        <w:rPr>
          <w:rFonts w:ascii="Century Gothic" w:hAnsi="Century Gothic"/>
        </w:rPr>
      </w:pPr>
      <w:r>
        <w:rPr>
          <w:rFonts w:ascii="Century Gothic" w:hAnsi="Century Gothic"/>
        </w:rPr>
        <w:t xml:space="preserve">Formation en technique d’extraction de beurre de karité et du </w:t>
      </w:r>
      <w:r>
        <w:rPr>
          <w:rFonts w:ascii="Century Gothic" w:hAnsi="Century Gothic"/>
          <w:i/>
        </w:rPr>
        <w:t>soumbala</w:t>
      </w:r>
      <w:r>
        <w:rPr>
          <w:rFonts w:ascii="Century Gothic" w:hAnsi="Century Gothic"/>
        </w:rPr>
        <w:t>.</w:t>
      </w:r>
    </w:p>
    <w:p>
      <w:pPr>
        <w:pStyle w:val="style179"/>
        <w:tabs>
          <w:tab w:val="left" w:leader="none" w:pos="9214"/>
          <w:tab w:val="left" w:leader="none" w:pos="9639"/>
        </w:tabs>
        <w:ind w:left="0"/>
        <w:jc w:val="both"/>
        <w:rPr>
          <w:rFonts w:ascii="Century Gothic" w:hAnsi="Century Gothic"/>
        </w:rPr>
      </w:pPr>
      <w:r>
        <w:rPr>
          <w:rFonts w:ascii="Century Gothic" w:hAnsi="Century Gothic"/>
        </w:rPr>
        <w:t xml:space="preserve"> Les séances de sensibilisation seront exécutées par le service de l’environnement de Tiébélé sur la base d’un protocole et en assurera le suivi. La formation en technique d’extraction de beurre de karité et de préparation du </w:t>
      </w:r>
      <w:r>
        <w:rPr>
          <w:rFonts w:ascii="Century Gothic" w:hAnsi="Century Gothic"/>
          <w:i/>
        </w:rPr>
        <w:t>soumbala</w:t>
      </w:r>
      <w:r>
        <w:rPr>
          <w:rFonts w:ascii="Century Gothic" w:hAnsi="Century Gothic"/>
        </w:rPr>
        <w:t xml:space="preserve"> sera assurée par des prestataires (Associations/Groupements/ONG) recrutés conformément à des TDR. </w:t>
      </w:r>
      <w:r>
        <w:rPr>
          <w:rFonts w:ascii="Century Gothic" w:hAnsi="Century Gothic"/>
          <w:b/>
        </w:rPr>
        <w:t>Le résultat attendu</w:t>
      </w:r>
      <w:r>
        <w:rPr>
          <w:rFonts w:ascii="Century Gothic" w:hAnsi="Century Gothic"/>
        </w:rPr>
        <w:t xml:space="preserve"> est qu’au terme des formations, 30 femmes, membres des groupements renforcent leurs capacités techniques sur la production du beurre de karité du soumbala de qualité. </w:t>
      </w:r>
      <w:r>
        <w:rPr>
          <w:rFonts w:ascii="Century Gothic" w:hAnsi="Century Gothic"/>
          <w:b/>
        </w:rPr>
        <w:t>Les moyens physiques</w:t>
      </w:r>
      <w:r>
        <w:rPr>
          <w:rFonts w:ascii="Century Gothic" w:hAnsi="Century Gothic"/>
        </w:rPr>
        <w:t xml:space="preserve"> se résumeront en matériel et fournitures de formation et les </w:t>
      </w:r>
      <w:r>
        <w:rPr>
          <w:rFonts w:ascii="Century Gothic" w:hAnsi="Century Gothic"/>
          <w:b/>
        </w:rPr>
        <w:t>moyens humains</w:t>
      </w:r>
      <w:r>
        <w:rPr>
          <w:rFonts w:ascii="Century Gothic" w:hAnsi="Century Gothic"/>
        </w:rPr>
        <w:t xml:space="preserve"> sont constitués de l’expertise technique du service de l’environnement. </w:t>
      </w:r>
      <w:r>
        <w:rPr>
          <w:rFonts w:ascii="Century Gothic" w:hAnsi="Century Gothic"/>
          <w:b/>
        </w:rPr>
        <w:t>Les moyens financiers</w:t>
      </w:r>
      <w:r>
        <w:rPr>
          <w:rFonts w:ascii="Century Gothic" w:hAnsi="Century Gothic"/>
        </w:rPr>
        <w:t xml:space="preserve"> seront constitués de frais de prise du formateur et la restauration des participants. Ces ressources seront financées par le budget du PDIC/REDD+ de Tiébélé. L’organisation et la gestion de l’activité sera faite par le maire qui assure le rôle de coordination de l’activité en collaboration avec les responsables de la </w:t>
      </w:r>
      <w:r>
        <w:rPr>
          <w:rFonts w:ascii="Century Gothic" w:hAnsi="Century Gothic"/>
          <w:bCs/>
        </w:rPr>
        <w:t xml:space="preserve">SCOOP </w:t>
      </w:r>
      <w:r>
        <w:rPr>
          <w:rFonts w:ascii="Century Gothic" w:hAnsi="Century Gothic"/>
        </w:rPr>
        <w:t xml:space="preserve">KOUDJIGUI-TINA et le service de l’agriculture.  </w:t>
      </w:r>
    </w:p>
    <w:p>
      <w:pPr>
        <w:pStyle w:val="style179"/>
        <w:tabs>
          <w:tab w:val="left" w:leader="none" w:pos="9214"/>
          <w:tab w:val="left" w:leader="none" w:pos="9639"/>
        </w:tabs>
        <w:ind w:left="0"/>
        <w:jc w:val="both"/>
        <w:rPr>
          <w:rFonts w:ascii="Century Gothic" w:hAnsi="Century Gothic"/>
        </w:rPr>
      </w:pPr>
    </w:p>
    <w:bookmarkStart w:id="27" w:name="_Toc82046077"/>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 xml:space="preserve">4.2. Espace de conservation  </w:t>
      </w:r>
      <w:r>
        <w:rPr>
          <w:rFonts w:ascii="Century Gothic" w:hAnsi="Century Gothic"/>
          <w:szCs w:val="24"/>
        </w:rPr>
        <w:t>Tangassogo</w:t>
      </w:r>
      <w:bookmarkEnd w:id="27"/>
    </w:p>
    <w:p>
      <w:pPr>
        <w:pStyle w:val="style0"/>
        <w:rPr/>
      </w:pPr>
    </w:p>
    <w:bookmarkStart w:id="28" w:name="_Toc82046078"/>
    <w:p>
      <w:pPr>
        <w:pStyle w:val="style2"/>
        <w:numPr>
          <w:ilvl w:val="0"/>
          <w:numId w:val="0"/>
        </w:numPr>
        <w:tabs>
          <w:tab w:val="left" w:leader="none" w:pos="9214"/>
          <w:tab w:val="left" w:leader="none" w:pos="9639"/>
        </w:tabs>
        <w:rPr>
          <w:rFonts w:ascii="Century Gothic" w:hAnsi="Century Gothic"/>
        </w:rPr>
      </w:pPr>
      <w:r>
        <w:rPr>
          <w:rFonts w:ascii="Century Gothic" w:hAnsi="Century Gothic"/>
          <w:szCs w:val="24"/>
        </w:rPr>
        <w:t xml:space="preserve">4.2.1. Description de l’espace de conservation </w:t>
      </w:r>
      <w:r>
        <w:rPr>
          <w:rFonts w:ascii="Century Gothic" w:hAnsi="Century Gothic"/>
          <w:szCs w:val="24"/>
        </w:rPr>
        <w:t>Tangassogo</w:t>
      </w:r>
      <w:bookmarkEnd w:id="28"/>
    </w:p>
    <w:p>
      <w:pPr>
        <w:pStyle w:val="style0"/>
        <w:widowControl w:val="false"/>
        <w:autoSpaceDE w:val="false"/>
        <w:autoSpaceDN w:val="false"/>
        <w:adjustRightInd w:val="false"/>
        <w:jc w:val="both"/>
        <w:rPr>
          <w:rFonts w:ascii="Century Gothic" w:hAnsi="Century Gothic"/>
        </w:rPr>
      </w:pPr>
    </w:p>
    <w:p>
      <w:pPr>
        <w:pStyle w:val="style0"/>
        <w:widowControl w:val="false"/>
        <w:autoSpaceDE w:val="false"/>
        <w:autoSpaceDN w:val="false"/>
        <w:adjustRightInd w:val="false"/>
        <w:jc w:val="both"/>
        <w:rPr>
          <w:rFonts w:ascii="Century Gothic" w:hAnsi="Century Gothic"/>
        </w:rPr>
      </w:pPr>
      <w:r>
        <w:rPr>
          <w:rFonts w:ascii="Century Gothic" w:hAnsi="Century Gothic"/>
        </w:rPr>
        <w:t xml:space="preserve">Cet espace </w:t>
      </w:r>
      <w:r>
        <w:rPr>
          <w:rFonts w:ascii="Century Gothic" w:hAnsi="Century Gothic"/>
        </w:rPr>
        <w:t xml:space="preserve">de conservation est </w:t>
      </w:r>
      <w:r>
        <w:rPr>
          <w:rFonts w:ascii="Century Gothic" w:hAnsi="Century Gothic"/>
        </w:rPr>
        <w:t>repéré par les coordonnées de son centr</w:t>
      </w:r>
      <w:r>
        <w:rPr>
          <w:rFonts w:ascii="Century Gothic" w:hAnsi="Century Gothic"/>
        </w:rPr>
        <w:t>o</w:t>
      </w:r>
      <w:r>
        <w:rPr>
          <w:rFonts w:ascii="Century Gothic" w:hAnsi="Century Gothic"/>
        </w:rPr>
        <w:t xml:space="preserve">ïde X= </w:t>
      </w:r>
      <w:r>
        <w:rPr>
          <w:rFonts w:ascii="Century Gothic" w:hAnsi="Century Gothic"/>
        </w:rPr>
        <w:t>720629</w:t>
      </w:r>
      <w:r>
        <w:rPr>
          <w:rFonts w:ascii="Century Gothic" w:hAnsi="Century Gothic"/>
        </w:rPr>
        <w:t xml:space="preserve"> </w:t>
      </w:r>
      <w:r>
        <w:rPr>
          <w:rFonts w:ascii="Century Gothic" w:hAnsi="Century Gothic"/>
        </w:rPr>
        <w:t xml:space="preserve">et Y= </w:t>
      </w:r>
      <w:r>
        <w:rPr>
          <w:rFonts w:ascii="Century Gothic" w:hAnsi="Century Gothic"/>
        </w:rPr>
        <w:t>1220228</w:t>
      </w:r>
      <w:r>
        <w:rPr>
          <w:rFonts w:ascii="Century Gothic" w:hAnsi="Century Gothic"/>
        </w:rPr>
        <w:t xml:space="preserve"> (WGS84, UTM zone 30N)</w:t>
      </w:r>
      <w:r>
        <w:rPr>
          <w:rFonts w:ascii="Century Gothic" w:hAnsi="Century Gothic"/>
        </w:rPr>
        <w:t>.</w:t>
      </w:r>
      <w:r>
        <w:rPr>
          <w:rFonts w:ascii="Century Gothic" w:hAnsi="Century Gothic"/>
        </w:rPr>
        <w:t xml:space="preserve"> </w:t>
      </w:r>
      <w:r>
        <w:rPr>
          <w:rFonts w:ascii="Century Gothic" w:hAnsi="Century Gothic"/>
        </w:rPr>
        <w:t>D’une superficie de 15,86 hectares environ, cet espace de conservation est situé dans la portion sud de la commune de Tiébélé, à l’Ouest et Nord-Ouest respectivement des localités de Ouédiabié-Tangassogo et Ourobié-Tangassogo. Il s’agit d’un espace dominé en partie par une formation arbustive sur sol squelettique contre une zone de faible dépression où l’on rencontre des espèces ligneuses de la strate arborée.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3"/>
        <w:gridCol w:w="5308"/>
      </w:tblGrid>
      <w:tr>
        <w:trPr/>
        <w:tc>
          <w:tcPr>
            <w:tcW w:w="2350" w:type="pct"/>
            <w:tcBorders/>
            <w:shd w:val="clear" w:color="auto" w:fill="auto"/>
          </w:tcPr>
          <w:p>
            <w:pPr>
              <w:pStyle w:val="style0"/>
              <w:widowControl w:val="false"/>
              <w:autoSpaceDE w:val="false"/>
              <w:autoSpaceDN w:val="false"/>
              <w:adjustRightInd w:val="false"/>
              <w:jc w:val="both"/>
              <w:rPr>
                <w:rFonts w:ascii="Century Gothic" w:eastAsia="Calibri" w:hAnsi="Century Gothic"/>
              </w:rPr>
            </w:pPr>
            <w:r>
              <w:rPr>
                <w:rFonts w:ascii="Century Gothic" w:eastAsia="Calibri" w:hAnsi="Century Gothic"/>
                <w:noProof/>
              </w:rPr>
              <w:drawing>
                <wp:inline distL="0" distT="0" distB="0" distR="0">
                  <wp:extent cx="2758440" cy="2333625"/>
                  <wp:effectExtent l="0" t="0" r="3810" b="9525"/>
                  <wp:docPr id="1036" name="Image 5" descr="IMG_20210708_134033_10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11" cstate="print"/>
                          <a:srcRect l="0" t="0" r="0" b="0"/>
                          <a:stretch/>
                        </pic:blipFill>
                        <pic:spPr>
                          <a:xfrm rot="0">
                            <a:off x="0" y="0"/>
                            <a:ext cx="2758440" cy="2333625"/>
                          </a:xfrm>
                          <a:prstGeom prst="rect"/>
                          <a:ln>
                            <a:noFill/>
                          </a:ln>
                        </pic:spPr>
                      </pic:pic>
                    </a:graphicData>
                  </a:graphic>
                </wp:inline>
              </w:drawing>
            </w:r>
          </w:p>
          <w:p>
            <w:pPr>
              <w:pStyle w:val="style0"/>
              <w:widowControl w:val="false"/>
              <w:autoSpaceDE w:val="false"/>
              <w:autoSpaceDN w:val="false"/>
              <w:adjustRightInd w:val="false"/>
              <w:jc w:val="both"/>
              <w:rPr>
                <w:rFonts w:ascii="Century Gothic" w:eastAsia="Calibri" w:hAnsi="Century Gothic"/>
                <w:sz w:val="20"/>
                <w:szCs w:val="20"/>
              </w:rPr>
            </w:pPr>
            <w:r>
              <w:rPr>
                <w:rFonts w:ascii="Century Gothic" w:eastAsia="Calibri" w:hAnsi="Century Gothic"/>
                <w:sz w:val="20"/>
                <w:szCs w:val="20"/>
              </w:rPr>
              <w:t>Photo : Formation sur sol squelettique</w:t>
            </w:r>
          </w:p>
        </w:tc>
        <w:tc>
          <w:tcPr>
            <w:tcW w:w="2650" w:type="pct"/>
            <w:tcBorders/>
            <w:shd w:val="clear" w:color="auto" w:fill="auto"/>
          </w:tcPr>
          <w:p>
            <w:pPr>
              <w:pStyle w:val="style0"/>
              <w:widowControl w:val="false"/>
              <w:autoSpaceDE w:val="false"/>
              <w:autoSpaceDN w:val="false"/>
              <w:adjustRightInd w:val="false"/>
              <w:jc w:val="center"/>
              <w:rPr>
                <w:rFonts w:ascii="Century Gothic" w:eastAsia="Calibri" w:hAnsi="Century Gothic"/>
                <w:sz w:val="20"/>
                <w:szCs w:val="20"/>
              </w:rPr>
            </w:pPr>
            <w:r>
              <w:rPr>
                <w:rFonts w:ascii="Century Gothic" w:eastAsia="Calibri" w:hAnsi="Century Gothic"/>
                <w:noProof/>
              </w:rPr>
              <w:drawing>
                <wp:anchor distT="0" distB="0" distL="114300" distR="114300" simplePos="false" relativeHeight="3" behindDoc="true" locked="false" layoutInCell="true" allowOverlap="true">
                  <wp:simplePos x="0" y="0"/>
                  <wp:positionH relativeFrom="column">
                    <wp:posOffset>14605</wp:posOffset>
                  </wp:positionH>
                  <wp:positionV relativeFrom="paragraph">
                    <wp:posOffset>0</wp:posOffset>
                  </wp:positionV>
                  <wp:extent cx="3177540" cy="2333625"/>
                  <wp:effectExtent l="0" t="0" r="3810" b="9525"/>
                  <wp:wrapTight wrapText="bothSides">
                    <wp:wrapPolygon edited="false">
                      <wp:start x="0" y="0"/>
                      <wp:lineTo x="0" y="21512"/>
                      <wp:lineTo x="21496" y="21512"/>
                      <wp:lineTo x="21496" y="0"/>
                      <wp:lineTo x="0" y="0"/>
                    </wp:wrapPolygon>
                  </wp:wrapTight>
                  <wp:docPr id="1037" name="Image 4" descr="IMG_20210708_134354_55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4"/>
                          <pic:cNvPicPr/>
                        </pic:nvPicPr>
                        <pic:blipFill>
                          <a:blip r:embed="rId12" cstate="print"/>
                          <a:srcRect l="0" t="0" r="0" b="0"/>
                          <a:stretch/>
                        </pic:blipFill>
                        <pic:spPr>
                          <a:xfrm rot="0">
                            <a:off x="0" y="0"/>
                            <a:ext cx="3177540" cy="2333625"/>
                          </a:xfrm>
                          <a:prstGeom prst="rect"/>
                          <a:ln>
                            <a:noFill/>
                          </a:ln>
                        </pic:spPr>
                      </pic:pic>
                    </a:graphicData>
                  </a:graphic>
                  <wp14:sizeRelH relativeFrom="page">
                    <wp14:pctWidth>0</wp14:pctWidth>
                  </wp14:sizeRelH>
                  <wp14:sizeRelV relativeFrom="page">
                    <wp14:pctHeight>0</wp14:pctHeight>
                  </wp14:sizeRelV>
                </wp:anchor>
              </w:drawing>
            </w:r>
            <w:r>
              <w:rPr>
                <w:rFonts w:ascii="Century Gothic" w:eastAsia="Calibri" w:hAnsi="Century Gothic"/>
                <w:sz w:val="20"/>
                <w:szCs w:val="20"/>
              </w:rPr>
              <w:t>Photo : Formation ligneuse dans une zone de dépression</w:t>
            </w:r>
          </w:p>
        </w:tc>
      </w:tr>
    </w:tbl>
    <w:p>
      <w:pPr>
        <w:pStyle w:val="style0"/>
        <w:widowControl w:val="false"/>
        <w:autoSpaceDE w:val="false"/>
        <w:autoSpaceDN w:val="false"/>
        <w:adjustRightInd w:val="false"/>
        <w:jc w:val="both"/>
        <w:rPr>
          <w:rFonts w:ascii="Century Gothic" w:hAnsi="Century Gothic"/>
        </w:rPr>
      </w:pPr>
    </w:p>
    <w:p>
      <w:pPr>
        <w:pStyle w:val="style0"/>
        <w:tabs>
          <w:tab w:val="left" w:leader="none" w:pos="9214"/>
          <w:tab w:val="left" w:leader="none" w:pos="9639"/>
        </w:tabs>
        <w:rPr>
          <w:rFonts w:ascii="Century Gothic" w:hAnsi="Century Gothic"/>
        </w:rPr>
      </w:pPr>
    </w:p>
    <w:bookmarkStart w:id="29" w:name="_Toc82046079"/>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 xml:space="preserve">4.2.2. Description détaillée des activités du PDIC REDD + de l’espace de conservation </w:t>
      </w:r>
      <w:r>
        <w:rPr>
          <w:rFonts w:ascii="Century Gothic" w:hAnsi="Century Gothic"/>
          <w:szCs w:val="24"/>
        </w:rPr>
        <w:t>Tangassogo</w:t>
      </w:r>
      <w:bookmarkEnd w:id="29"/>
    </w:p>
    <w:p>
      <w:pPr>
        <w:pStyle w:val="style179"/>
        <w:tabs>
          <w:tab w:val="left" w:leader="none" w:pos="9214"/>
          <w:tab w:val="left" w:leader="none" w:pos="9639"/>
        </w:tabs>
        <w:ind w:left="0"/>
        <w:jc w:val="both"/>
        <w:rPr>
          <w:rFonts w:ascii="Century Gothic" w:hAnsi="Century Gothic"/>
          <w:i/>
        </w:rPr>
      </w:pPr>
    </w:p>
    <w:bookmarkStart w:id="30" w:name="_Toc82046080"/>
    <w:p>
      <w:pPr>
        <w:pStyle w:val="style3"/>
        <w:numPr>
          <w:ilvl w:val="0"/>
          <w:numId w:val="0"/>
        </w:numPr>
        <w:tabs>
          <w:tab w:val="left" w:leader="none" w:pos="9214"/>
          <w:tab w:val="left" w:leader="none" w:pos="9639"/>
        </w:tabs>
        <w:rPr>
          <w:rFonts w:ascii="Century Gothic" w:hAnsi="Century Gothic"/>
          <w:szCs w:val="24"/>
        </w:rPr>
      </w:pPr>
      <w:r>
        <w:rPr>
          <w:rFonts w:ascii="Century Gothic" w:hAnsi="Century Gothic"/>
          <w:szCs w:val="24"/>
        </w:rPr>
        <w:t>4.2.2.1. Activités directement liées à la réduction des émissions de gaz à effet de serre</w:t>
      </w:r>
      <w:bookmarkEnd w:id="30"/>
      <w:r>
        <w:rPr>
          <w:rFonts w:ascii="Century Gothic" w:hAnsi="Century Gothic"/>
          <w:szCs w:val="24"/>
        </w:rPr>
        <w:t xml:space="preserve"> </w:t>
      </w:r>
    </w:p>
    <w:p>
      <w:pPr>
        <w:pStyle w:val="style0"/>
        <w:tabs>
          <w:tab w:val="left" w:leader="none" w:pos="9214"/>
          <w:tab w:val="left" w:leader="none" w:pos="9639"/>
        </w:tabs>
        <w:rPr>
          <w:rFonts w:ascii="Century Gothic" w:hAnsi="Century Gothic"/>
        </w:rPr>
      </w:pPr>
    </w:p>
    <w:p>
      <w:pPr>
        <w:pStyle w:val="style0"/>
        <w:jc w:val="both"/>
        <w:rPr>
          <w:rFonts w:ascii="Century Gothic" w:hAnsi="Century Gothic"/>
          <w:b/>
          <w:i/>
          <w:u w:val="single"/>
        </w:rPr>
      </w:pPr>
      <w:r>
        <w:rPr>
          <w:rFonts w:ascii="Century Gothic" w:hAnsi="Century Gothic"/>
          <w:b/>
          <w:i/>
          <w:u w:val="single"/>
        </w:rPr>
        <w:t>Activité 4.</w:t>
      </w:r>
      <w:r>
        <w:rPr>
          <w:rFonts w:ascii="Century Gothic" w:hAnsi="Century Gothic"/>
          <w:b/>
          <w:i/>
          <w:u w:val="single"/>
        </w:rPr>
        <w:t>2</w:t>
      </w:r>
      <w:r>
        <w:rPr>
          <w:rFonts w:ascii="Century Gothic" w:hAnsi="Century Gothic"/>
          <w:b/>
          <w:i/>
          <w:u w:val="single"/>
        </w:rPr>
        <w:t xml:space="preserve">.2.1.1. </w:t>
      </w:r>
      <w:r>
        <w:rPr>
          <w:rFonts w:ascii="Century Gothic" w:hAnsi="Century Gothic"/>
          <w:b/>
          <w:i/>
          <w:u w:val="single"/>
        </w:rPr>
        <w:t xml:space="preserve">Aménager et gérer durablement la forêt </w:t>
      </w:r>
      <w:r>
        <w:rPr>
          <w:rFonts w:ascii="Century Gothic" w:hAnsi="Century Gothic"/>
          <w:b/>
          <w:i/>
          <w:u w:val="single"/>
        </w:rPr>
        <w:t>Tangassogo</w:t>
      </w:r>
      <w:r>
        <w:rPr>
          <w:rFonts w:ascii="Century Gothic" w:hAnsi="Century Gothic"/>
          <w:b/>
          <w:i/>
          <w:u w:val="single"/>
        </w:rPr>
        <w:t xml:space="preserve"> (15,86 Hectares)</w:t>
      </w:r>
    </w:p>
    <w:p>
      <w:pPr>
        <w:pStyle w:val="style0"/>
        <w:jc w:val="both"/>
        <w:rPr>
          <w:rFonts w:ascii="Century Gothic" w:hAnsi="Century Gothic"/>
        </w:rPr>
      </w:pPr>
    </w:p>
    <w:p>
      <w:pPr>
        <w:pStyle w:val="style0"/>
        <w:jc w:val="both"/>
        <w:rPr>
          <w:rFonts w:ascii="Century Gothic" w:hAnsi="Century Gothic"/>
        </w:rPr>
      </w:pPr>
      <w:r>
        <w:rPr>
          <w:rFonts w:ascii="Century Gothic" w:cs="Arial" w:hAnsi="Century Gothic"/>
          <w:b/>
        </w:rPr>
        <w:t>L’objectif</w:t>
      </w:r>
      <w:r>
        <w:rPr>
          <w:rFonts w:ascii="Century Gothic" w:cs="Arial" w:hAnsi="Century Gothic"/>
        </w:rPr>
        <w:t xml:space="preserve"> de l’activité est de planifier dans le temps et dans l’espace les sous activités à mener pour la préservation (délimitation, bornage, charte foncière, comité de gestion, etc.) et la valorisation des ressources de l’espace de conservation communal de Tangassogo. </w:t>
      </w:r>
      <w:r>
        <w:rPr>
          <w:rFonts w:ascii="Century Gothic" w:cs="Arial" w:hAnsi="Century Gothic"/>
          <w:b/>
        </w:rPr>
        <w:t>Les</w:t>
      </w:r>
      <w:r>
        <w:rPr>
          <w:rFonts w:ascii="Century Gothic" w:cs="Arial" w:hAnsi="Century Gothic"/>
        </w:rPr>
        <w:t xml:space="preserve"> </w:t>
      </w:r>
      <w:r>
        <w:rPr>
          <w:rFonts w:ascii="Century Gothic" w:cs="Arial" w:hAnsi="Century Gothic"/>
          <w:b/>
        </w:rPr>
        <w:t>moyens humains</w:t>
      </w:r>
      <w:r>
        <w:rPr>
          <w:rFonts w:ascii="Century Gothic" w:cs="Arial" w:hAnsi="Century Gothic"/>
        </w:rPr>
        <w:t xml:space="preserve"> nécessaires seront surtout de l’expertise en aménagement de ressources naturelles pour les formations, la réalisation des prescriptions, environnementales, etc. </w:t>
      </w:r>
      <w:r>
        <w:rPr>
          <w:rFonts w:ascii="Century Gothic" w:cs="Arial" w:hAnsi="Century Gothic"/>
          <w:b/>
        </w:rPr>
        <w:t>Les moyens techniques</w:t>
      </w:r>
      <w:r>
        <w:rPr>
          <w:rFonts w:ascii="Century Gothic" w:cs="Arial" w:hAnsi="Century Gothic"/>
        </w:rPr>
        <w:t xml:space="preserve"> seront constitués de technologie pour les activités d’aménagement (cartographie, inventaire des ressources etc.). </w:t>
      </w:r>
      <w:r>
        <w:rPr>
          <w:rFonts w:ascii="Century Gothic" w:cs="Arial" w:hAnsi="Century Gothic"/>
          <w:b/>
        </w:rPr>
        <w:t>Les moyens matériels</w:t>
      </w:r>
      <w:r>
        <w:rPr>
          <w:rFonts w:ascii="Century Gothic" w:cs="Arial" w:hAnsi="Century Gothic"/>
        </w:rPr>
        <w:t xml:space="preserve"> seront constitués de bornes, de plants pour la délimitation et l’enrichissement, etc.</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constitués de frais relatifs aux différentes sous activités. Ces ressources seront financées par le budget du PDIC/REDD+ de Tiébélé. L’organisation et la gestion de l’activité sera faite par le maire qui assure le rôle de coordination de l’activité, en collaboration avec le CVD et les services techniques du développement rural. </w:t>
      </w:r>
    </w:p>
    <w:p>
      <w:pPr>
        <w:pStyle w:val="style0"/>
        <w:jc w:val="both"/>
        <w:rPr>
          <w:rFonts w:ascii="Century Gothic" w:hAnsi="Century Gothic"/>
        </w:rPr>
      </w:pPr>
    </w:p>
    <w:p>
      <w:pPr>
        <w:pStyle w:val="style0"/>
        <w:tabs>
          <w:tab w:val="left" w:leader="none" w:pos="9214"/>
          <w:tab w:val="left" w:leader="none" w:pos="9639"/>
        </w:tabs>
        <w:jc w:val="both"/>
        <w:rPr>
          <w:rFonts w:ascii="Century Gothic" w:hAnsi="Century Gothic"/>
          <w:b/>
          <w:i/>
        </w:rPr>
      </w:pPr>
      <w:r>
        <w:rPr>
          <w:rFonts w:ascii="Century Gothic" w:hAnsi="Century Gothic"/>
          <w:i/>
          <w:u w:val="single"/>
        </w:rPr>
        <w:t>Sous-Activité 4.</w:t>
      </w:r>
      <w:r>
        <w:rPr>
          <w:rFonts w:ascii="Century Gothic" w:hAnsi="Century Gothic"/>
          <w:i/>
          <w:u w:val="single"/>
        </w:rPr>
        <w:t>2</w:t>
      </w:r>
      <w:r>
        <w:rPr>
          <w:rFonts w:ascii="Century Gothic" w:hAnsi="Century Gothic"/>
          <w:i/>
          <w:u w:val="single"/>
        </w:rPr>
        <w:t xml:space="preserve">.2.1.1.2. Réaliser des plantations d’enrichissement/délimitation de la forêt de </w:t>
      </w:r>
      <w:r>
        <w:rPr>
          <w:rFonts w:ascii="Century Gothic" w:hAnsi="Century Gothic"/>
          <w:i/>
          <w:u w:val="single"/>
        </w:rPr>
        <w:t>Tangassogo</w:t>
      </w:r>
    </w:p>
    <w:p>
      <w:pPr>
        <w:pStyle w:val="style0"/>
        <w:tabs>
          <w:tab w:val="left" w:leader="none" w:pos="9214"/>
          <w:tab w:val="left" w:leader="none" w:pos="9639"/>
        </w:tabs>
        <w:jc w:val="both"/>
        <w:rPr>
          <w:rFonts w:ascii="Century Gothic" w:hAnsi="Century Gothic"/>
          <w:b/>
          <w:i/>
        </w:rPr>
      </w:pPr>
    </w:p>
    <w:p>
      <w:pPr>
        <w:pStyle w:val="style0"/>
        <w:tabs>
          <w:tab w:val="left" w:leader="none" w:pos="9214"/>
          <w:tab w:val="left" w:leader="none" w:pos="9639"/>
        </w:tabs>
        <w:jc w:val="both"/>
        <w:rPr>
          <w:rFonts w:ascii="Century Gothic" w:hAnsi="Century Gothic"/>
        </w:rPr>
      </w:pPr>
      <w:r>
        <w:rPr>
          <w:rFonts w:ascii="Century Gothic" w:hAnsi="Century Gothic"/>
          <w:b/>
        </w:rPr>
        <w:t>L’objectif</w:t>
      </w:r>
      <w:r>
        <w:rPr>
          <w:rFonts w:ascii="Century Gothic" w:hAnsi="Century Gothic"/>
          <w:b/>
          <w:i/>
        </w:rPr>
        <w:t> </w:t>
      </w:r>
      <w:r>
        <w:rPr>
          <w:rFonts w:ascii="Century Gothic" w:hAnsi="Century Gothic"/>
        </w:rPr>
        <w:t xml:space="preserve">est d’accroitre la capacité de séquestration de carbone de la forêt </w:t>
      </w:r>
      <w:r>
        <w:rPr>
          <w:rFonts w:ascii="Century Gothic" w:hAnsi="Century Gothic"/>
        </w:rPr>
        <w:t xml:space="preserve">communale </w:t>
      </w:r>
      <w:r>
        <w:rPr>
          <w:rFonts w:ascii="Century Gothic" w:hAnsi="Century Gothic"/>
        </w:rPr>
        <w:t xml:space="preserve">de </w:t>
      </w:r>
      <w:r>
        <w:rPr>
          <w:rFonts w:ascii="Century Gothic" w:hAnsi="Century Gothic"/>
        </w:rPr>
        <w:t>Tiébélé</w:t>
      </w:r>
      <w:r>
        <w:rPr>
          <w:rFonts w:ascii="Century Gothic" w:hAnsi="Century Gothic"/>
        </w:rPr>
        <w:t xml:space="preserve"> d’une superficie de </w:t>
      </w:r>
      <w:r>
        <w:rPr>
          <w:rFonts w:ascii="Century Gothic" w:hAnsi="Century Gothic"/>
        </w:rPr>
        <w:t>15,86</w:t>
      </w:r>
      <w:r>
        <w:rPr>
          <w:rFonts w:ascii="Century Gothic" w:hAnsi="Century Gothic"/>
        </w:rPr>
        <w:t xml:space="preserve"> Hectares. </w:t>
      </w:r>
      <w:r>
        <w:rPr>
          <w:rFonts w:ascii="Century Gothic" w:hAnsi="Century Gothic"/>
          <w:b/>
        </w:rPr>
        <w:t>La méthode</w:t>
      </w:r>
      <w:r>
        <w:rPr>
          <w:rFonts w:ascii="Century Gothic" w:hAnsi="Century Gothic"/>
        </w:rPr>
        <w:t xml:space="preserve"> : Il s’agira des plantations de délimitation de 2 rangées sur une longueur totale de </w:t>
      </w:r>
      <w:r>
        <w:rPr>
          <w:rFonts w:ascii="Century Gothic" w:hAnsi="Century Gothic"/>
        </w:rPr>
        <w:t>25</w:t>
      </w:r>
      <w:r>
        <w:rPr>
          <w:rFonts w:ascii="Century Gothic" w:hAnsi="Century Gothic"/>
        </w:rPr>
        <w:t xml:space="preserve">00 mètres de périmètre (soit </w:t>
      </w:r>
      <w:r>
        <w:rPr>
          <w:rFonts w:ascii="Century Gothic" w:hAnsi="Century Gothic"/>
        </w:rPr>
        <w:t>10</w:t>
      </w:r>
      <w:r>
        <w:rPr>
          <w:rFonts w:ascii="Century Gothic" w:hAnsi="Century Gothic"/>
        </w:rPr>
        <w:t>5</w:t>
      </w:r>
      <w:r>
        <w:rPr>
          <w:rFonts w:ascii="Century Gothic" w:hAnsi="Century Gothic"/>
        </w:rPr>
        <w:t xml:space="preserve">0 plants en raison d’un écartement de 4mètres/4) et d’enrichissement à l’intérieur de la forêt soit 5 hectares (3125 plants). Ce qui donne un </w:t>
      </w:r>
      <w:r>
        <w:rPr>
          <w:rFonts w:ascii="Century Gothic" w:hAnsi="Century Gothic"/>
        </w:rPr>
        <w:t>total de 4</w:t>
      </w:r>
      <w:r>
        <w:rPr>
          <w:rFonts w:ascii="Century Gothic" w:hAnsi="Century Gothic"/>
        </w:rPr>
        <w:t>1</w:t>
      </w:r>
      <w:r>
        <w:rPr>
          <w:rFonts w:ascii="Century Gothic" w:hAnsi="Century Gothic"/>
        </w:rPr>
        <w:t>75 Plants par an soit 1</w:t>
      </w:r>
      <w:r>
        <w:rPr>
          <w:rFonts w:ascii="Century Gothic" w:hAnsi="Century Gothic"/>
        </w:rPr>
        <w:t>2 5</w:t>
      </w:r>
      <w:r>
        <w:rPr>
          <w:rFonts w:ascii="Century Gothic" w:hAnsi="Century Gothic"/>
        </w:rPr>
        <w:t xml:space="preserve">25 plants pour les trois premières années du projet. </w:t>
      </w:r>
      <w:r>
        <w:rPr>
          <w:rFonts w:ascii="Century Gothic" w:hAnsi="Century Gothic"/>
          <w:b/>
        </w:rPr>
        <w:t>Les moyens humains</w:t>
      </w:r>
      <w:r>
        <w:rPr>
          <w:rFonts w:ascii="Century Gothic" w:hAnsi="Century Gothic"/>
          <w:b/>
          <w:i/>
        </w:rPr>
        <w:t xml:space="preserve"> </w:t>
      </w:r>
      <w:r>
        <w:rPr>
          <w:rFonts w:ascii="Century Gothic" w:hAnsi="Century Gothic"/>
        </w:rPr>
        <w:t xml:space="preserve">sont constitués de l’expertise technique du service </w:t>
      </w:r>
      <w:r>
        <w:rPr>
          <w:rFonts w:ascii="Century Gothic" w:hAnsi="Century Gothic"/>
        </w:rPr>
        <w:t xml:space="preserve">forestier et l’accompagnement des populations riveraines (comité de gestion) pour les trouaisons, la plantation et les entretiens. </w:t>
      </w:r>
      <w:r>
        <w:rPr>
          <w:rFonts w:ascii="Century Gothic" w:hAnsi="Century Gothic"/>
          <w:b/>
        </w:rPr>
        <w:t>Les moyens matériels</w:t>
      </w:r>
      <w:r>
        <w:rPr>
          <w:rFonts w:ascii="Century Gothic" w:hAnsi="Century Gothic"/>
        </w:rPr>
        <w:t xml:space="preserve"> seront constitués de plants, de pioches, pic à gaz et de pelles, de ruban métrique (piquetage). </w:t>
      </w:r>
      <w:r>
        <w:rPr>
          <w:rFonts w:ascii="Century Gothic" w:hAnsi="Century Gothic"/>
          <w:b/>
        </w:rPr>
        <w:t>Les moyens financiers</w:t>
      </w:r>
      <w:r>
        <w:rPr>
          <w:rFonts w:ascii="Century Gothic" w:hAnsi="Century Gothic"/>
        </w:rPr>
        <w:t xml:space="preserve"> seront de ressources financières pour l’acquisition des plants et du matériel, la prise en charge du service forestier. Ces ressources seront financées par le budget du PDIC/REDD+ de Tiébélé. Les trouaisons, plantations et entretien des plantations seront la contribution des populations. L’organisation et la gestion de l’activité sera faite par la commune à travers le maire qui assure le rôle de coordinateur en collaboration avec, l’association Ga Mo Wigna, le service forestier et le comité de gestion.  </w:t>
      </w:r>
    </w:p>
    <w:p>
      <w:pPr>
        <w:pStyle w:val="style0"/>
        <w:tabs>
          <w:tab w:val="left" w:leader="none" w:pos="9214"/>
          <w:tab w:val="left" w:leader="none" w:pos="9639"/>
        </w:tabs>
        <w:jc w:val="both"/>
        <w:rPr>
          <w:rFonts w:ascii="Century Gothic" w:hAnsi="Century Gothic"/>
        </w:rPr>
      </w:pPr>
      <w:r>
        <w:rPr>
          <w:rFonts w:ascii="Century Gothic" w:hAnsi="Century Gothic"/>
        </w:rPr>
        <w:t xml:space="preserve"> </w:t>
      </w:r>
    </w:p>
    <w:p>
      <w:pPr>
        <w:pStyle w:val="style0"/>
        <w:tabs>
          <w:tab w:val="left" w:leader="none" w:pos="9214"/>
          <w:tab w:val="left" w:leader="none" w:pos="9639"/>
        </w:tabs>
        <w:jc w:val="both"/>
        <w:rPr>
          <w:rFonts w:ascii="Century Gothic" w:hAnsi="Century Gothic"/>
          <w:i/>
          <w:spacing w:val="-1"/>
          <w:u w:val="single"/>
        </w:rPr>
      </w:pPr>
      <w:r>
        <w:rPr>
          <w:rFonts w:ascii="Century Gothic" w:hAnsi="Century Gothic"/>
          <w:i/>
          <w:u w:val="single"/>
        </w:rPr>
        <w:t>Sous-Activité 4.</w:t>
      </w:r>
      <w:r>
        <w:rPr>
          <w:rFonts w:ascii="Century Gothic" w:hAnsi="Century Gothic"/>
          <w:i/>
          <w:u w:val="single"/>
        </w:rPr>
        <w:t>2</w:t>
      </w:r>
      <w:r>
        <w:rPr>
          <w:rFonts w:ascii="Century Gothic" w:hAnsi="Century Gothic"/>
          <w:i/>
          <w:u w:val="single"/>
        </w:rPr>
        <w:t xml:space="preserve">.2.1.1.3.  Réaliser des plantations individuelles dans les villages riverains dans l’espace de conservation </w:t>
      </w:r>
      <w:r>
        <w:rPr>
          <w:rFonts w:ascii="Century Gothic" w:hAnsi="Century Gothic"/>
          <w:i/>
          <w:spacing w:val="-1"/>
          <w:u w:val="single"/>
        </w:rPr>
        <w:t>Tangassogo</w:t>
      </w:r>
      <w:r>
        <w:rPr>
          <w:rFonts w:ascii="Century Gothic" w:hAnsi="Century Gothic"/>
          <w:i/>
          <w:spacing w:val="-1"/>
          <w:u w:val="single"/>
        </w:rPr>
        <w:t xml:space="preserve"> </w:t>
      </w:r>
      <w:r>
        <w:rPr>
          <w:rFonts w:ascii="Century Gothic" w:hAnsi="Century Gothic"/>
          <w:bCs/>
          <w:i/>
          <w:u w:val="single"/>
        </w:rPr>
        <w:t xml:space="preserve">(villages </w:t>
      </w:r>
      <w:r>
        <w:rPr>
          <w:rFonts w:ascii="Century Gothic" w:hAnsi="Century Gothic"/>
        </w:rPr>
        <w:t>Ouédiabié-Tangassogo et Ourobié-Tangassogo</w:t>
      </w:r>
      <w:r>
        <w:rPr>
          <w:rFonts w:ascii="Century Gothic" w:hAnsi="Century Gothic"/>
          <w:bCs/>
          <w:i/>
        </w:rPr>
        <w:t>)</w:t>
      </w:r>
      <w:r>
        <w:rPr>
          <w:rFonts w:ascii="Century Gothic" w:hAnsi="Century Gothic"/>
          <w:i/>
        </w:rPr>
        <w:t>.</w:t>
      </w:r>
    </w:p>
    <w:p>
      <w:pPr>
        <w:pStyle w:val="style0"/>
        <w:tabs>
          <w:tab w:val="left" w:leader="none" w:pos="9214"/>
          <w:tab w:val="left" w:leader="none" w:pos="9639"/>
        </w:tabs>
        <w:jc w:val="both"/>
        <w:rPr>
          <w:rFonts w:ascii="Century Gothic" w:hAnsi="Century Gothic"/>
          <w:i/>
          <w:spacing w:val="-1"/>
          <w:u w:val="single"/>
        </w:rPr>
      </w:pPr>
    </w:p>
    <w:p>
      <w:pPr>
        <w:pStyle w:val="style0"/>
        <w:tabs>
          <w:tab w:val="left" w:leader="none" w:pos="9214"/>
          <w:tab w:val="left" w:leader="none" w:pos="9639"/>
        </w:tabs>
        <w:jc w:val="both"/>
        <w:rPr>
          <w:rFonts w:ascii="Century Gothic" w:hAnsi="Century Gothic"/>
        </w:rPr>
      </w:pPr>
      <w:r>
        <w:rPr>
          <w:rFonts w:ascii="Century Gothic" w:hAnsi="Century Gothic"/>
          <w:b/>
          <w:bCs/>
        </w:rPr>
        <w:t>L’objectif de l’activité </w:t>
      </w:r>
      <w:r>
        <w:rPr>
          <w:rFonts w:ascii="Century Gothic" w:hAnsi="Century Gothic"/>
          <w:bCs/>
        </w:rPr>
        <w:t xml:space="preserve">est de renforcer le potentiel de séquestration des forêts et de satisfaire les besoins en fruits, légumes et bois des populations. </w:t>
      </w:r>
      <w:r>
        <w:rPr>
          <w:rFonts w:ascii="Century Gothic" w:hAnsi="Century Gothic"/>
          <w:b/>
        </w:rPr>
        <w:t>La m</w:t>
      </w:r>
      <w:r>
        <w:rPr>
          <w:rFonts w:ascii="Century Gothic" w:hAnsi="Century Gothic"/>
          <w:b/>
          <w:bCs/>
        </w:rPr>
        <w:t>éthode</w:t>
      </w:r>
      <w:r>
        <w:rPr>
          <w:rFonts w:ascii="Century Gothic" w:hAnsi="Century Gothic"/>
          <w:bCs/>
        </w:rPr>
        <w:t xml:space="preserve"> va reposer sur </w:t>
      </w:r>
      <w:r>
        <w:rPr>
          <w:rFonts w:ascii="Century Gothic" w:hAnsi="Century Gothic"/>
        </w:rPr>
        <w:t xml:space="preserve">l’appui en plants avec les espèces utilitaires aux producteurs et aux groupements pour la réalisation de plantations individuelles afin de renforcer les espaces agroforestiers. Pour chacun </w:t>
      </w:r>
      <w:r>
        <w:rPr>
          <w:rFonts w:ascii="Century Gothic" w:hAnsi="Century Gothic"/>
        </w:rPr>
        <w:t xml:space="preserve">les </w:t>
      </w:r>
      <w:r>
        <w:rPr>
          <w:rFonts w:ascii="Century Gothic" w:hAnsi="Century Gothic"/>
        </w:rPr>
        <w:t xml:space="preserve">deux villages de l’espace de conservation de </w:t>
      </w:r>
      <w:r>
        <w:rPr>
          <w:rFonts w:ascii="Century Gothic" w:hAnsi="Century Gothic"/>
          <w:bCs/>
        </w:rPr>
        <w:t xml:space="preserve">que sont </w:t>
      </w:r>
      <w:r>
        <w:rPr>
          <w:rFonts w:ascii="Century Gothic" w:hAnsi="Century Gothic"/>
        </w:rPr>
        <w:t>Ouédiabié-Tangassogo et Ourobié-Tangassogo. C</w:t>
      </w:r>
      <w:r>
        <w:rPr>
          <w:rFonts w:ascii="Century Gothic" w:hAnsi="Century Gothic"/>
        </w:rPr>
        <w:t>inquante (</w:t>
      </w:r>
      <w:r>
        <w:rPr>
          <w:rFonts w:ascii="Century Gothic" w:hAnsi="Century Gothic"/>
        </w:rPr>
        <w:t>50</w:t>
      </w:r>
      <w:r>
        <w:rPr>
          <w:rFonts w:ascii="Century Gothic" w:hAnsi="Century Gothic"/>
        </w:rPr>
        <w:t>) personnes seront sélectionnées</w:t>
      </w:r>
      <w:r>
        <w:rPr>
          <w:rFonts w:ascii="Century Gothic" w:hAnsi="Century Gothic"/>
        </w:rPr>
        <w:t xml:space="preserve"> à </w:t>
      </w:r>
      <w:r>
        <w:rPr>
          <w:rFonts w:ascii="Century Gothic" w:hAnsi="Century Gothic"/>
        </w:rPr>
        <w:t>Ouédiabié-Tangassogo</w:t>
      </w:r>
      <w:r>
        <w:rPr>
          <w:rFonts w:ascii="Century Gothic" w:hAnsi="Century Gothic"/>
        </w:rPr>
        <w:t xml:space="preserve"> et </w:t>
      </w:r>
      <w:r>
        <w:rPr>
          <w:rFonts w:ascii="Century Gothic" w:hAnsi="Century Gothic"/>
        </w:rPr>
        <w:t>50</w:t>
      </w:r>
      <w:r>
        <w:rPr>
          <w:rFonts w:ascii="Century Gothic" w:hAnsi="Century Gothic"/>
        </w:rPr>
        <w:t xml:space="preserve"> personnes à </w:t>
      </w:r>
      <w:r>
        <w:rPr>
          <w:rFonts w:ascii="Century Gothic" w:hAnsi="Century Gothic"/>
        </w:rPr>
        <w:t>Ourobié-Tangassogo</w:t>
      </w:r>
      <w:r>
        <w:rPr>
          <w:rFonts w:ascii="Century Gothic" w:hAnsi="Century Gothic"/>
        </w:rPr>
        <w:t xml:space="preserve">, avec l’appui des CVD et bénéficieront chacun des </w:t>
      </w:r>
      <w:r>
        <w:rPr>
          <w:rFonts w:ascii="Century Gothic" w:hAnsi="Century Gothic"/>
        </w:rPr>
        <w:t xml:space="preserve">50 </w:t>
      </w:r>
      <w:r>
        <w:rPr>
          <w:rFonts w:ascii="Century Gothic" w:hAnsi="Century Gothic"/>
        </w:rPr>
        <w:t xml:space="preserve">plants pour les plantations, haies, etc. Au total 5000 plants seront reboisés par an pendant trois ans soit un total de 15 000 plants. Les plants seront achetés à l’an 1 du projet aux pépiniéristes de sorte à leur permettre de poursuivre l’activité pour les deux prochaines campagnes. </w:t>
      </w:r>
      <w:r>
        <w:rPr>
          <w:rFonts w:ascii="Century Gothic" w:hAnsi="Century Gothic"/>
          <w:b/>
        </w:rPr>
        <w:t>Les résultats attendu</w:t>
      </w:r>
      <w:r>
        <w:rPr>
          <w:rFonts w:ascii="Century Gothic" w:hAnsi="Century Gothic"/>
        </w:rPr>
        <w:t xml:space="preserve">s sont : (1) le potentiel de séquestration des gaz à effet de serre de l’espace de conservation </w:t>
      </w:r>
      <w:r>
        <w:rPr>
          <w:rFonts w:ascii="Century Gothic" w:hAnsi="Century Gothic"/>
        </w:rPr>
        <w:t>Tiébélé</w:t>
      </w:r>
      <w:r>
        <w:rPr>
          <w:rFonts w:ascii="Century Gothic" w:hAnsi="Century Gothic"/>
          <w:i/>
          <w:spacing w:val="-1"/>
          <w:u w:val="single"/>
        </w:rPr>
        <w:t> </w:t>
      </w:r>
      <w:r>
        <w:rPr>
          <w:rFonts w:ascii="Century Gothic" w:hAnsi="Century Gothic"/>
        </w:rPr>
        <w:t xml:space="preserve"> est renforcé et (2) la disponibilité des plants utilitaires dans les ménages est renforcée</w:t>
      </w:r>
      <w:r>
        <w:rPr>
          <w:rFonts w:ascii="Century Gothic" w:hAnsi="Century Gothic"/>
          <w:b/>
          <w:i/>
        </w:rPr>
        <w:t xml:space="preserve">. </w:t>
      </w:r>
      <w:r>
        <w:rPr>
          <w:rFonts w:ascii="Century Gothic" w:hAnsi="Century Gothic"/>
          <w:b/>
        </w:rPr>
        <w:t>Les impacts</w:t>
      </w:r>
      <w:r>
        <w:rPr>
          <w:rFonts w:ascii="Century Gothic" w:hAnsi="Century Gothic"/>
        </w:rPr>
        <w:t xml:space="preserve"> sont le renforcement du couvert végétal et la valorisation à moyen terme des plants reboisés (fruits, bois). </w:t>
      </w:r>
      <w:r>
        <w:rPr>
          <w:rFonts w:ascii="Century Gothic" w:hAnsi="Century Gothic"/>
          <w:b/>
        </w:rPr>
        <w:t>Les moyens humains</w:t>
      </w:r>
      <w:r>
        <w:rPr>
          <w:rFonts w:ascii="Century Gothic" w:hAnsi="Century Gothic"/>
        </w:rPr>
        <w:t xml:space="preserve"> sont constitués de l’expertise technique du service forestier et de la main d’œuvre des bénéficiaires pour les trouaisons, la plantation et les entretiens des plants reçus. </w:t>
      </w:r>
      <w:r>
        <w:rPr>
          <w:rFonts w:ascii="Century Gothic" w:hAnsi="Century Gothic"/>
          <w:b/>
        </w:rPr>
        <w:t>Les moyens matériels</w:t>
      </w:r>
      <w:r>
        <w:rPr>
          <w:rFonts w:ascii="Century Gothic" w:hAnsi="Century Gothic"/>
        </w:rPr>
        <w:t xml:space="preserve"> seront constitués de plants, de pic à gaz et de pelles, des mètres ruban …). </w:t>
      </w:r>
      <w:r>
        <w:rPr>
          <w:rFonts w:ascii="Century Gothic" w:hAnsi="Century Gothic"/>
          <w:b/>
        </w:rPr>
        <w:t>Les moyens financiers</w:t>
      </w:r>
      <w:r>
        <w:rPr>
          <w:rFonts w:ascii="Century Gothic" w:hAnsi="Century Gothic"/>
        </w:rPr>
        <w:t xml:space="preserve"> seront de ressources financières pour l’acquisition des plants et du matériel, la prise en charge du service forestier. Ces ressources seront financées par le budget du PDIC/REDD+ de </w:t>
      </w:r>
      <w:r>
        <w:rPr>
          <w:rFonts w:ascii="Century Gothic" w:hAnsi="Century Gothic"/>
        </w:rPr>
        <w:t>Tiébélé</w:t>
      </w:r>
      <w:r>
        <w:rPr>
          <w:rFonts w:ascii="Century Gothic" w:hAnsi="Century Gothic"/>
        </w:rPr>
        <w:t xml:space="preserve">. Les trouaisons, plantations et entretien des plantations seront la contribution des populations. L’organisation et la gestion de l’activité sera faite par la commune à travers le maire qui assure le rôle de coordinateur en collaboration avec, l’association Ga Mo Wigna, le service forestier.  </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
          <w:bCs/>
          <w:i/>
        </w:rPr>
      </w:pPr>
      <w:r>
        <w:rPr>
          <w:rFonts w:ascii="Century Gothic" w:hAnsi="Century Gothic"/>
          <w:i/>
          <w:u w:val="single"/>
        </w:rPr>
        <w:t>Sous-Activité 4.</w:t>
      </w:r>
      <w:r>
        <w:rPr>
          <w:rFonts w:ascii="Century Gothic" w:hAnsi="Century Gothic"/>
          <w:i/>
          <w:u w:val="single"/>
        </w:rPr>
        <w:t>2</w:t>
      </w:r>
      <w:r>
        <w:rPr>
          <w:rFonts w:ascii="Century Gothic" w:hAnsi="Century Gothic"/>
          <w:i/>
          <w:u w:val="single"/>
        </w:rPr>
        <w:t>.2.1.1.4</w:t>
      </w:r>
      <w:r>
        <w:rPr>
          <w:rFonts w:ascii="Century Gothic" w:hAnsi="Century Gothic"/>
          <w:bCs/>
          <w:i/>
          <w:u w:val="single"/>
        </w:rPr>
        <w:t xml:space="preserve">. </w:t>
      </w:r>
      <w:r>
        <w:rPr>
          <w:rFonts w:ascii="Century Gothic" w:hAnsi="Century Gothic"/>
          <w:i/>
          <w:u w:val="single"/>
        </w:rPr>
        <w:t xml:space="preserve">Mettre en place un comité villageois de gestion </w:t>
      </w:r>
      <w:r>
        <w:rPr>
          <w:rFonts w:ascii="Century Gothic" w:hAnsi="Century Gothic"/>
          <w:bCs/>
          <w:i/>
          <w:u w:val="single"/>
        </w:rPr>
        <w:t xml:space="preserve">dans l’espace de conservation </w:t>
      </w:r>
      <w:r>
        <w:rPr>
          <w:rFonts w:ascii="Century Gothic" w:hAnsi="Century Gothic"/>
          <w:bCs/>
          <w:i/>
          <w:u w:val="single"/>
        </w:rPr>
        <w:t>Tangassogo</w:t>
      </w:r>
      <w:r>
        <w:rPr>
          <w:rFonts w:ascii="Century Gothic" w:hAnsi="Century Gothic"/>
          <w:bCs/>
          <w:i/>
          <w:u w:val="single"/>
        </w:rPr>
        <w:t>.</w:t>
      </w:r>
      <w:r>
        <w:rPr>
          <w:rFonts w:ascii="Century Gothic" w:hAnsi="Century Gothic"/>
          <w:b/>
          <w:bCs/>
          <w:i/>
        </w:rPr>
        <w:t xml:space="preserve"> </w:t>
      </w:r>
    </w:p>
    <w:p>
      <w:pPr>
        <w:pStyle w:val="style0"/>
        <w:tabs>
          <w:tab w:val="left" w:leader="none" w:pos="9214"/>
          <w:tab w:val="left" w:leader="none" w:pos="9639"/>
        </w:tabs>
        <w:jc w:val="both"/>
        <w:rPr>
          <w:rFonts w:ascii="Century Gothic" w:hAnsi="Century Gothic"/>
          <w:i/>
        </w:rPr>
      </w:pPr>
    </w:p>
    <w:p>
      <w:pPr>
        <w:pStyle w:val="style0"/>
        <w:tabs>
          <w:tab w:val="left" w:leader="none" w:pos="9214"/>
          <w:tab w:val="left" w:leader="none" w:pos="9639"/>
        </w:tabs>
        <w:jc w:val="both"/>
        <w:rPr>
          <w:rFonts w:ascii="Century Gothic" w:hAnsi="Century Gothic"/>
        </w:rPr>
      </w:pPr>
      <w:r>
        <w:rPr>
          <w:rFonts w:ascii="Century Gothic" w:hAnsi="Century Gothic"/>
          <w:b/>
          <w:bCs/>
        </w:rPr>
        <w:t xml:space="preserve">L’objectif de l’activité </w:t>
      </w:r>
      <w:r>
        <w:rPr>
          <w:rFonts w:ascii="Century Gothic" w:hAnsi="Century Gothic"/>
          <w:bCs/>
        </w:rPr>
        <w:t xml:space="preserve">est de mettre en place un outil de gouvernance qui favorise la gestion durable des ressources. </w:t>
      </w:r>
      <w:r>
        <w:rPr>
          <w:rFonts w:ascii="Century Gothic" w:hAnsi="Century Gothic"/>
          <w:b/>
          <w:bCs/>
        </w:rPr>
        <w:t>La méthode </w:t>
      </w:r>
      <w:r>
        <w:rPr>
          <w:rFonts w:ascii="Century Gothic" w:hAnsi="Century Gothic"/>
          <w:bCs/>
        </w:rPr>
        <w:t xml:space="preserve">va reposer sur une consultation des acteurs qui désigneront leurs représentants au comité de gestion. La préparation de la mise en place de comité de gestion se fera sous forme d’assemblée villageoises avec a participation de la mairie et des services techniques. </w:t>
      </w:r>
      <w:r>
        <w:rPr>
          <w:rFonts w:ascii="Century Gothic" w:hAnsi="Century Gothic"/>
          <w:b/>
          <w:bCs/>
        </w:rPr>
        <w:t>Le résultat attendu</w:t>
      </w:r>
      <w:r>
        <w:rPr>
          <w:rFonts w:ascii="Century Gothic" w:hAnsi="Century Gothic"/>
          <w:bCs/>
        </w:rPr>
        <w:t xml:space="preserve"> est</w:t>
      </w:r>
      <w:r>
        <w:rPr>
          <w:rFonts w:ascii="Century Gothic" w:hAnsi="Century Gothic"/>
          <w:b/>
          <w:bCs/>
        </w:rPr>
        <w:t xml:space="preserve"> </w:t>
      </w:r>
      <w:r>
        <w:rPr>
          <w:rFonts w:ascii="Century Gothic" w:hAnsi="Century Gothic"/>
          <w:bCs/>
        </w:rPr>
        <w:t>que le</w:t>
      </w:r>
      <w:r>
        <w:rPr>
          <w:rFonts w:ascii="Century Gothic" w:hAnsi="Century Gothic"/>
        </w:rPr>
        <w:t xml:space="preserve"> comité villageois </w:t>
      </w:r>
      <w:r>
        <w:rPr>
          <w:rFonts w:ascii="Century Gothic" w:hAnsi="Century Gothic"/>
        </w:rPr>
        <w:t xml:space="preserve">de gestion </w:t>
      </w:r>
      <w:r>
        <w:rPr>
          <w:rFonts w:ascii="Century Gothic" w:hAnsi="Century Gothic"/>
        </w:rPr>
        <w:t xml:space="preserve">de la forêt de </w:t>
      </w:r>
      <w:r>
        <w:rPr>
          <w:rFonts w:ascii="Century Gothic" w:hAnsi="Century Gothic"/>
        </w:rPr>
        <w:t>Kaya</w:t>
      </w:r>
      <w:r>
        <w:rPr>
          <w:rFonts w:ascii="Century Gothic" w:hAnsi="Century Gothic"/>
        </w:rPr>
        <w:t xml:space="preserve"> de sept (7) membres jouissant d’une légitimité est mis en place et les ressources matérielles et financières de la forêt </w:t>
      </w:r>
      <w:r>
        <w:rPr>
          <w:rFonts w:ascii="Century Gothic" w:hAnsi="Century Gothic"/>
        </w:rPr>
        <w:t>de Tangassogo</w:t>
      </w:r>
      <w:r>
        <w:rPr>
          <w:rFonts w:ascii="Century Gothic" w:hAnsi="Century Gothic"/>
        </w:rPr>
        <w:t xml:space="preserve"> sont gérées durablement</w:t>
      </w:r>
      <w:r>
        <w:rPr>
          <w:rFonts w:ascii="Century Gothic" w:hAnsi="Century Gothic"/>
          <w:bCs/>
        </w:rPr>
        <w:t xml:space="preserve">. </w:t>
      </w:r>
      <w:r>
        <w:rPr>
          <w:rFonts w:ascii="Century Gothic" w:hAnsi="Century Gothic"/>
          <w:b/>
        </w:rPr>
        <w:t>Les moyens physiques</w:t>
      </w:r>
      <w:r>
        <w:rPr>
          <w:rFonts w:ascii="Century Gothic" w:hAnsi="Century Gothic"/>
        </w:rPr>
        <w:t xml:space="preserve"> se résumeront en documents papiers (documents statutaires, Procès-Verbal d’Assemblée Générale, document de reconnaissance) et </w:t>
      </w:r>
      <w:r>
        <w:rPr>
          <w:rFonts w:ascii="Century Gothic" w:hAnsi="Century Gothic"/>
          <w:b/>
        </w:rPr>
        <w:t>moyens humains</w:t>
      </w:r>
      <w:r>
        <w:rPr>
          <w:rFonts w:ascii="Century Gothic" w:hAnsi="Century Gothic"/>
        </w:rPr>
        <w:t xml:space="preserve"> seront constitués de l’expertise technique du service de l’agriculture. </w:t>
      </w:r>
      <w:r>
        <w:rPr>
          <w:rFonts w:ascii="Century Gothic" w:hAnsi="Century Gothic"/>
          <w:b/>
        </w:rPr>
        <w:t>Les moyens financiers</w:t>
      </w:r>
      <w:r>
        <w:rPr>
          <w:rFonts w:ascii="Century Gothic" w:hAnsi="Century Gothic"/>
        </w:rPr>
        <w:t xml:space="preserve"> seront constitués de frais de prise en charge du représentant </w:t>
      </w:r>
      <w:r>
        <w:rPr>
          <w:rFonts w:ascii="Century Gothic" w:hAnsi="Century Gothic"/>
          <w:bCs/>
        </w:rPr>
        <w:t>de la mairie et des services techniques</w:t>
      </w:r>
      <w:r>
        <w:rPr>
          <w:rFonts w:ascii="Century Gothic" w:hAnsi="Century Gothic"/>
        </w:rPr>
        <w:t xml:space="preserve"> et les frais de rafraîchissement lors des assemblées villageoises. Ces ressources seront financées par le budget du PDIC/REDD+ de </w:t>
      </w:r>
      <w:r>
        <w:rPr>
          <w:rFonts w:ascii="Century Gothic" w:hAnsi="Century Gothic"/>
        </w:rPr>
        <w:t>Tiébélé</w:t>
      </w:r>
      <w:r>
        <w:rPr>
          <w:rFonts w:ascii="Century Gothic" w:hAnsi="Century Gothic"/>
        </w:rPr>
        <w:t>. L’organisation et la gestion de l’activité sera faite par la commune qui assure le rôle de coordination.</w:t>
      </w:r>
    </w:p>
    <w:p>
      <w:pPr>
        <w:pStyle w:val="style0"/>
        <w:tabs>
          <w:tab w:val="left" w:leader="none" w:pos="9214"/>
          <w:tab w:val="left" w:leader="none" w:pos="9639"/>
        </w:tabs>
        <w:jc w:val="both"/>
        <w:rPr>
          <w:rFonts w:ascii="Century Gothic" w:hAnsi="Century Gothic"/>
          <w:b/>
          <w:bCs/>
        </w:rPr>
      </w:pPr>
    </w:p>
    <w:p>
      <w:pPr>
        <w:pStyle w:val="style0"/>
        <w:tabs>
          <w:tab w:val="left" w:leader="none" w:pos="9214"/>
          <w:tab w:val="left" w:leader="none" w:pos="9639"/>
        </w:tabs>
        <w:jc w:val="both"/>
        <w:rPr>
          <w:rFonts w:ascii="Century Gothic" w:hAnsi="Century Gothic"/>
          <w:b/>
          <w:bCs/>
          <w:i/>
        </w:rPr>
      </w:pPr>
      <w:r>
        <w:rPr>
          <w:rFonts w:ascii="Century Gothic" w:hAnsi="Century Gothic"/>
          <w:i/>
          <w:u w:val="single"/>
        </w:rPr>
        <w:t>Sous-Activité 4.</w:t>
      </w:r>
      <w:r>
        <w:rPr>
          <w:rFonts w:ascii="Century Gothic" w:hAnsi="Century Gothic"/>
          <w:i/>
          <w:u w:val="single"/>
        </w:rPr>
        <w:t>2</w:t>
      </w:r>
      <w:r>
        <w:rPr>
          <w:rFonts w:ascii="Century Gothic" w:hAnsi="Century Gothic"/>
          <w:i/>
          <w:u w:val="single"/>
        </w:rPr>
        <w:t>.2.1.1.5</w:t>
      </w:r>
      <w:r>
        <w:rPr>
          <w:rFonts w:ascii="Century Gothic" w:hAnsi="Century Gothic"/>
          <w:bCs/>
          <w:i/>
          <w:u w:val="single"/>
        </w:rPr>
        <w:t xml:space="preserve">. Former/ recycler 07 membres du comité de gestion / suivi de la charte sur leurs attributions dans l’espace de conservation </w:t>
      </w:r>
      <w:r>
        <w:rPr>
          <w:rFonts w:ascii="Century Gothic" w:hAnsi="Century Gothic"/>
          <w:bCs/>
          <w:i/>
          <w:u w:val="single"/>
        </w:rPr>
        <w:t>Tangassogo</w:t>
      </w:r>
      <w:r>
        <w:rPr>
          <w:rFonts w:ascii="Century Gothic" w:hAnsi="Century Gothic"/>
          <w:bCs/>
          <w:i/>
          <w:u w:val="single"/>
        </w:rPr>
        <w:t>.</w:t>
      </w:r>
      <w:r>
        <w:rPr>
          <w:rFonts w:ascii="Century Gothic" w:hAnsi="Century Gothic"/>
          <w:b/>
          <w:bCs/>
          <w:i/>
        </w:rPr>
        <w:t xml:space="preserve"> </w:t>
      </w:r>
    </w:p>
    <w:p>
      <w:pPr>
        <w:pStyle w:val="style0"/>
        <w:tabs>
          <w:tab w:val="left" w:leader="none" w:pos="9214"/>
          <w:tab w:val="left" w:leader="none" w:pos="9639"/>
        </w:tabs>
        <w:jc w:val="both"/>
        <w:rPr>
          <w:rFonts w:ascii="Century Gothic" w:hAnsi="Century Gothic"/>
          <w:b/>
          <w:bCs/>
          <w:i/>
        </w:rPr>
      </w:pPr>
    </w:p>
    <w:p>
      <w:pPr>
        <w:pStyle w:val="style0"/>
        <w:tabs>
          <w:tab w:val="left" w:leader="none" w:pos="9214"/>
          <w:tab w:val="left" w:leader="none" w:pos="9639"/>
        </w:tabs>
        <w:jc w:val="both"/>
        <w:rPr>
          <w:rFonts w:ascii="Century Gothic" w:hAnsi="Century Gothic"/>
          <w:bCs/>
        </w:rPr>
      </w:pPr>
      <w:r>
        <w:rPr>
          <w:rFonts w:ascii="Century Gothic" w:hAnsi="Century Gothic"/>
          <w:b/>
          <w:bCs/>
        </w:rPr>
        <w:t>L’objectif de l’activité</w:t>
      </w:r>
      <w:r>
        <w:rPr>
          <w:rFonts w:ascii="Century Gothic" w:hAnsi="Century Gothic"/>
          <w:bCs/>
        </w:rPr>
        <w:t xml:space="preserve"> est de permettre au comité de gestion d’exercer pleinement leurs missions de gestion/suivi de la mise en œuvre de la charte au niveau local. </w:t>
      </w:r>
      <w:r>
        <w:rPr>
          <w:rFonts w:ascii="Century Gothic" w:hAnsi="Century Gothic"/>
          <w:b/>
          <w:bCs/>
        </w:rPr>
        <w:t>La méthode </w:t>
      </w:r>
      <w:r>
        <w:rPr>
          <w:rFonts w:ascii="Century Gothic" w:hAnsi="Century Gothic"/>
          <w:bCs/>
        </w:rPr>
        <w:t>reposera sur</w:t>
      </w:r>
      <w:r>
        <w:rPr>
          <w:rFonts w:ascii="Century Gothic" w:hAnsi="Century Gothic"/>
          <w:b/>
          <w:bCs/>
        </w:rPr>
        <w:t xml:space="preserve"> </w:t>
      </w:r>
      <w:r>
        <w:rPr>
          <w:rFonts w:ascii="Century Gothic" w:hAnsi="Century Gothic"/>
          <w:bCs/>
        </w:rPr>
        <w:t>une formation initiale d’une journée suivie d’une session de recyclage et de suivi in situ. L’animation de la formation et du recyclage sera ass</w:t>
      </w:r>
      <w:r>
        <w:rPr>
          <w:rFonts w:ascii="Century Gothic" w:hAnsi="Century Gothic"/>
          <w:bCs/>
        </w:rPr>
        <w:t>urée par l’agent SFR de Tiébélé</w:t>
      </w:r>
      <w:r>
        <w:rPr>
          <w:rFonts w:ascii="Century Gothic" w:hAnsi="Century Gothic"/>
          <w:bCs/>
        </w:rPr>
        <w:t xml:space="preserve"> avec l’appui du service départemental en charge de l’agriculture de </w:t>
      </w:r>
      <w:r>
        <w:rPr>
          <w:rFonts w:ascii="Century Gothic" w:hAnsi="Century Gothic"/>
          <w:bCs/>
        </w:rPr>
        <w:t>Tiébélé</w:t>
      </w:r>
      <w:r>
        <w:rPr>
          <w:rFonts w:ascii="Century Gothic" w:hAnsi="Century Gothic"/>
          <w:bCs/>
        </w:rPr>
        <w:t xml:space="preserve">. </w:t>
      </w:r>
      <w:r>
        <w:rPr>
          <w:rFonts w:ascii="Century Gothic" w:hAnsi="Century Gothic"/>
          <w:b/>
          <w:bCs/>
        </w:rPr>
        <w:t>Les résultats attendus </w:t>
      </w:r>
      <w:r>
        <w:rPr>
          <w:rFonts w:ascii="Century Gothic" w:hAnsi="Century Gothic"/>
          <w:bCs/>
        </w:rPr>
        <w:t xml:space="preserve">sont que (1) les membres du comité de gestion/suivi de l’espace de conservation </w:t>
      </w:r>
      <w:r>
        <w:rPr>
          <w:rFonts w:ascii="Century Gothic" w:hAnsi="Century Gothic"/>
          <w:bCs/>
        </w:rPr>
        <w:t>Tiébélé</w:t>
      </w:r>
      <w:r>
        <w:rPr>
          <w:rFonts w:ascii="Century Gothic" w:hAnsi="Century Gothic"/>
          <w:bCs/>
        </w:rPr>
        <w:t xml:space="preserve"> renforcent leurs capacités à l’exercice de leur mission et (2) sont capables d’informer/sensibiliser sainement les populations riveraines sur sa gestion. </w:t>
      </w:r>
      <w:r>
        <w:rPr>
          <w:rFonts w:ascii="Century Gothic" w:hAnsi="Century Gothic"/>
          <w:b/>
        </w:rPr>
        <w:t>Les moyens physiques</w:t>
      </w:r>
      <w:r>
        <w:rPr>
          <w:rFonts w:ascii="Century Gothic" w:hAnsi="Century Gothic"/>
        </w:rPr>
        <w:t xml:space="preserve"> se résumeront en documents papiers (fournitures) et </w:t>
      </w:r>
      <w:r>
        <w:rPr>
          <w:rFonts w:ascii="Century Gothic" w:hAnsi="Century Gothic"/>
          <w:b/>
        </w:rPr>
        <w:t>moyens humains</w:t>
      </w:r>
      <w:r>
        <w:rPr>
          <w:rFonts w:ascii="Century Gothic" w:hAnsi="Century Gothic"/>
        </w:rPr>
        <w:t xml:space="preserve"> constitués de l’expertise </w:t>
      </w:r>
      <w:r>
        <w:rPr>
          <w:rFonts w:ascii="Century Gothic" w:hAnsi="Century Gothic"/>
          <w:bCs/>
        </w:rPr>
        <w:t>l’agent SFR de Tiébélé</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constitués de frais de prise en charge et rencontres. Ces ressources seront financées par le budget du PDIC/REDD+ de </w:t>
      </w:r>
      <w:r>
        <w:rPr>
          <w:rFonts w:ascii="Century Gothic" w:hAnsi="Century Gothic"/>
        </w:rPr>
        <w:t>Tiébélé</w:t>
      </w:r>
      <w:r>
        <w:rPr>
          <w:rFonts w:ascii="Century Gothic" w:hAnsi="Century Gothic"/>
        </w:rPr>
        <w:t xml:space="preserve">. L’organisation et la gestion de l’activité sera faite par le maire qui assure le rôle de coordination de l’activité en collaboration avec le comité de gestion.  </w:t>
      </w:r>
    </w:p>
    <w:p>
      <w:pPr>
        <w:pStyle w:val="style0"/>
        <w:tabs>
          <w:tab w:val="left" w:leader="none" w:pos="9214"/>
          <w:tab w:val="left" w:leader="none" w:pos="9639"/>
        </w:tabs>
        <w:jc w:val="both"/>
        <w:rPr>
          <w:rFonts w:ascii="Century Gothic" w:hAnsi="Century Gothic"/>
          <w:b/>
          <w:bCs/>
        </w:rPr>
      </w:pPr>
    </w:p>
    <w:p>
      <w:pPr>
        <w:pStyle w:val="style0"/>
        <w:tabs>
          <w:tab w:val="left" w:leader="none" w:pos="9214"/>
          <w:tab w:val="left" w:leader="none" w:pos="9639"/>
        </w:tabs>
        <w:jc w:val="both"/>
        <w:outlineLvl w:val="3"/>
        <w:rPr>
          <w:rFonts w:ascii="Century Gothic" w:hAnsi="Century Gothic"/>
          <w:i/>
          <w:u w:val="single"/>
        </w:rPr>
      </w:pPr>
      <w:r>
        <w:rPr>
          <w:rFonts w:ascii="Century Gothic" w:hAnsi="Century Gothic"/>
          <w:i/>
          <w:u w:val="single"/>
        </w:rPr>
        <w:t>Sous-Activité 4.</w:t>
      </w:r>
      <w:r>
        <w:rPr>
          <w:rFonts w:ascii="Century Gothic" w:hAnsi="Century Gothic"/>
          <w:i/>
          <w:u w:val="single"/>
        </w:rPr>
        <w:t>2</w:t>
      </w:r>
      <w:r>
        <w:rPr>
          <w:rFonts w:ascii="Century Gothic" w:hAnsi="Century Gothic"/>
          <w:i/>
          <w:u w:val="single"/>
        </w:rPr>
        <w:t>.2.1.1.6</w:t>
      </w:r>
      <w:r>
        <w:rPr>
          <w:rFonts w:ascii="Century Gothic" w:hAnsi="Century Gothic"/>
          <w:bCs/>
          <w:i/>
          <w:u w:val="single"/>
        </w:rPr>
        <w:t xml:space="preserve">. </w:t>
      </w:r>
      <w:r>
        <w:rPr>
          <w:rFonts w:ascii="Century Gothic" w:hAnsi="Century Gothic"/>
          <w:i/>
          <w:u w:val="single"/>
        </w:rPr>
        <w:t>Elaborer une charte locale de</w:t>
      </w:r>
      <w:r>
        <w:rPr>
          <w:rFonts w:ascii="Century Gothic" w:hAnsi="Century Gothic"/>
          <w:i/>
          <w:u w:val="single"/>
        </w:rPr>
        <w:t xml:space="preserve"> gestion</w:t>
      </w:r>
      <w:r>
        <w:rPr>
          <w:rFonts w:ascii="Century Gothic" w:hAnsi="Century Gothic"/>
          <w:i/>
          <w:u w:val="single"/>
        </w:rPr>
        <w:t xml:space="preserve"> foncière de la forêt de </w:t>
      </w:r>
      <w:r>
        <w:rPr>
          <w:rFonts w:ascii="Century Gothic" w:hAnsi="Century Gothic"/>
          <w:i/>
          <w:u w:val="single"/>
        </w:rPr>
        <w:t>T</w:t>
      </w:r>
      <w:r>
        <w:rPr>
          <w:rFonts w:ascii="Century Gothic" w:hAnsi="Century Gothic"/>
          <w:i/>
          <w:u w:val="single"/>
        </w:rPr>
        <w:t>angassogo</w:t>
      </w:r>
    </w:p>
    <w:p>
      <w:pPr>
        <w:pStyle w:val="style0"/>
        <w:tabs>
          <w:tab w:val="left" w:leader="none" w:pos="9214"/>
          <w:tab w:val="left" w:leader="none" w:pos="9639"/>
        </w:tabs>
        <w:jc w:val="both"/>
        <w:outlineLvl w:val="3"/>
        <w:rPr>
          <w:rFonts w:ascii="Century Gothic" w:hAnsi="Century Gothic"/>
          <w:i/>
          <w:u w:val="single"/>
        </w:rPr>
      </w:pPr>
    </w:p>
    <w:p>
      <w:pPr>
        <w:pStyle w:val="style0"/>
        <w:tabs>
          <w:tab w:val="left" w:leader="none" w:pos="9214"/>
          <w:tab w:val="left" w:leader="none" w:pos="9639"/>
        </w:tabs>
        <w:jc w:val="both"/>
        <w:outlineLvl w:val="3"/>
        <w:rPr>
          <w:rFonts w:ascii="Century Gothic" w:hAnsi="Century Gothic"/>
        </w:rPr>
      </w:pPr>
      <w:r>
        <w:rPr>
          <w:rFonts w:ascii="Century Gothic" w:hAnsi="Century Gothic"/>
          <w:b/>
        </w:rPr>
        <w:t>L’objectif</w:t>
      </w:r>
      <w:r>
        <w:rPr>
          <w:rFonts w:ascii="Century Gothic" w:hAnsi="Century Gothic"/>
        </w:rPr>
        <w:t xml:space="preserve"> est de doter la forêt </w:t>
      </w:r>
      <w:r>
        <w:rPr>
          <w:rFonts w:ascii="Century Gothic" w:hAnsi="Century Gothic"/>
        </w:rPr>
        <w:t>de Tangassogo</w:t>
      </w:r>
      <w:r>
        <w:rPr>
          <w:rFonts w:ascii="Century Gothic" w:hAnsi="Century Gothic"/>
        </w:rPr>
        <w:t xml:space="preserve"> d’un outil nécessaires à sa bonne gestion afin d’assurer sa durabilité. La </w:t>
      </w:r>
      <w:r>
        <w:rPr>
          <w:rFonts w:ascii="Century Gothic" w:hAnsi="Century Gothic"/>
          <w:b/>
        </w:rPr>
        <w:t>méthode</w:t>
      </w:r>
      <w:r>
        <w:rPr>
          <w:rFonts w:ascii="Century Gothic" w:hAnsi="Century Gothic"/>
        </w:rPr>
        <w:t xml:space="preserve"> consistera à élaborer les TDR et envoyer une correspondance à trois consultants parmi lesquels un sera recruté pour mener l’étude. Le document de la charte foncière constitue le </w:t>
      </w:r>
      <w:r>
        <w:rPr>
          <w:rFonts w:ascii="Century Gothic" w:hAnsi="Century Gothic"/>
          <w:b/>
        </w:rPr>
        <w:t>résultat</w:t>
      </w:r>
      <w:r>
        <w:rPr>
          <w:rFonts w:ascii="Century Gothic" w:hAnsi="Century Gothic"/>
        </w:rPr>
        <w:t xml:space="preserve"> de cette activité. Les </w:t>
      </w:r>
      <w:r>
        <w:rPr>
          <w:rFonts w:ascii="Century Gothic" w:hAnsi="Century Gothic"/>
          <w:b/>
        </w:rPr>
        <w:t>moyens humains</w:t>
      </w:r>
      <w:r>
        <w:rPr>
          <w:rFonts w:ascii="Century Gothic" w:hAnsi="Century Gothic"/>
        </w:rPr>
        <w:t xml:space="preserve"> impliqués sont le </w:t>
      </w:r>
      <w:r>
        <w:rPr>
          <w:rFonts w:ascii="Century Gothic" w:cs="Calibri" w:hAnsi="Century Gothic"/>
          <w:color w:val="000000"/>
        </w:rPr>
        <w:t xml:space="preserve">CVD, la Mairie de </w:t>
      </w:r>
      <w:r>
        <w:rPr>
          <w:rFonts w:ascii="Century Gothic" w:cs="Calibri" w:hAnsi="Century Gothic"/>
          <w:color w:val="000000"/>
        </w:rPr>
        <w:t>Tiébélé</w:t>
      </w:r>
      <w:r>
        <w:rPr>
          <w:rFonts w:ascii="Century Gothic" w:cs="Calibri" w:hAnsi="Century Gothic"/>
          <w:color w:val="000000"/>
        </w:rPr>
        <w:t xml:space="preserve">, les services de l’agriculture, de l’environnement, des ressources animales, les leaders coutumiers et religieux de </w:t>
      </w:r>
      <w:r>
        <w:rPr>
          <w:rFonts w:ascii="Century Gothic" w:cs="Calibri" w:hAnsi="Century Gothic"/>
          <w:color w:val="000000"/>
        </w:rPr>
        <w:t>Tiébélé</w:t>
      </w:r>
      <w:r>
        <w:rPr>
          <w:rFonts w:ascii="Century Gothic" w:cs="Calibri" w:hAnsi="Century Gothic"/>
          <w:color w:val="000000"/>
        </w:rPr>
        <w:t xml:space="preserve">, la préfecture de </w:t>
      </w:r>
      <w:r>
        <w:rPr>
          <w:rFonts w:ascii="Century Gothic" w:cs="Calibri" w:hAnsi="Century Gothic"/>
          <w:color w:val="000000"/>
        </w:rPr>
        <w:t>Tiébélé</w:t>
      </w:r>
      <w:r>
        <w:rPr>
          <w:rFonts w:ascii="Century Gothic" w:cs="Calibri" w:hAnsi="Century Gothic"/>
          <w:color w:val="000000"/>
        </w:rPr>
        <w:t xml:space="preserve"> et</w:t>
      </w:r>
      <w:r>
        <w:rPr>
          <w:rFonts w:ascii="Century Gothic" w:hAnsi="Century Gothic"/>
        </w:rPr>
        <w:t xml:space="preserve"> le consultant. </w:t>
      </w:r>
      <w:r>
        <w:rPr>
          <w:rFonts w:ascii="Century Gothic" w:hAnsi="Century Gothic"/>
          <w:b/>
        </w:rPr>
        <w:t>Les</w:t>
      </w:r>
      <w:r>
        <w:rPr>
          <w:rFonts w:ascii="Century Gothic" w:hAnsi="Century Gothic"/>
        </w:rPr>
        <w:t xml:space="preserve"> </w:t>
      </w:r>
      <w:r>
        <w:rPr>
          <w:rFonts w:ascii="Century Gothic" w:hAnsi="Century Gothic"/>
          <w:b/>
        </w:rPr>
        <w:t xml:space="preserve">moyens financiers </w:t>
      </w:r>
      <w:r>
        <w:rPr>
          <w:rFonts w:ascii="Century Gothic" w:hAnsi="Century Gothic"/>
        </w:rPr>
        <w:t>sont</w:t>
      </w:r>
      <w:r>
        <w:rPr>
          <w:rFonts w:ascii="Century Gothic" w:hAnsi="Century Gothic"/>
          <w:b/>
        </w:rPr>
        <w:t xml:space="preserve"> </w:t>
      </w:r>
      <w:r>
        <w:rPr>
          <w:rFonts w:ascii="Century Gothic" w:hAnsi="Century Gothic"/>
        </w:rPr>
        <w:t xml:space="preserve">composés des honoraires du consultants, la pause-café et la prise charge des participants à la validation de l’atelier proviendront du projet. Ces ressources seront financées par le budget du PDIC/REDD+ de </w:t>
      </w:r>
      <w:r>
        <w:rPr>
          <w:rFonts w:ascii="Century Gothic" w:hAnsi="Century Gothic"/>
        </w:rPr>
        <w:t>Tiébélé</w:t>
      </w:r>
      <w:r>
        <w:rPr>
          <w:rFonts w:ascii="Century Gothic" w:hAnsi="Century Gothic"/>
        </w:rPr>
        <w:t>. L’organisation et la gestion de l’activité sera faite par le maire qui assure le rôle de coordination de l’activité.</w:t>
      </w:r>
    </w:p>
    <w:p>
      <w:pPr>
        <w:pStyle w:val="style0"/>
        <w:spacing w:after="160" w:lineRule="auto" w:line="259"/>
        <w:rPr>
          <w:rFonts w:ascii="Century Gothic" w:hAnsi="Century Gothic"/>
          <w:b/>
          <w:bCs/>
        </w:rPr>
      </w:pPr>
      <w:r>
        <w:rPr>
          <w:rFonts w:ascii="Century Gothic" w:hAnsi="Century Gothic"/>
          <w:b/>
          <w:bCs/>
        </w:rPr>
        <w:br w:type="page"/>
      </w:r>
    </w:p>
    <w:p>
      <w:pPr>
        <w:pStyle w:val="style0"/>
        <w:tabs>
          <w:tab w:val="left" w:leader="none" w:pos="9214"/>
          <w:tab w:val="left" w:leader="none" w:pos="9639"/>
        </w:tabs>
        <w:jc w:val="both"/>
        <w:rPr>
          <w:rFonts w:ascii="Century Gothic" w:hAnsi="Century Gothic"/>
          <w:b/>
          <w:bCs/>
        </w:rPr>
      </w:pPr>
    </w:p>
    <w:p>
      <w:pPr>
        <w:pStyle w:val="style0"/>
        <w:tabs>
          <w:tab w:val="left" w:leader="none" w:pos="9214"/>
          <w:tab w:val="left" w:leader="none" w:pos="9639"/>
        </w:tabs>
        <w:jc w:val="both"/>
        <w:rPr>
          <w:rFonts w:ascii="Century Gothic" w:hAnsi="Century Gothic"/>
          <w:i/>
          <w:u w:val="single"/>
        </w:rPr>
      </w:pPr>
      <w:r>
        <w:rPr>
          <w:rFonts w:ascii="Century Gothic" w:hAnsi="Century Gothic"/>
          <w:i/>
          <w:u w:val="single"/>
        </w:rPr>
        <w:t>Sous-Activité 4.</w:t>
      </w:r>
      <w:r>
        <w:rPr>
          <w:rFonts w:ascii="Century Gothic" w:hAnsi="Century Gothic"/>
          <w:i/>
          <w:u w:val="single"/>
        </w:rPr>
        <w:t>2</w:t>
      </w:r>
      <w:r>
        <w:rPr>
          <w:rFonts w:ascii="Century Gothic" w:hAnsi="Century Gothic"/>
          <w:i/>
          <w:u w:val="single"/>
        </w:rPr>
        <w:t xml:space="preserve">.2.1.1.7. Réaliser le bornage de la forêt </w:t>
      </w:r>
      <w:r>
        <w:rPr>
          <w:rFonts w:ascii="Century Gothic" w:hAnsi="Century Gothic"/>
          <w:i/>
          <w:u w:val="single"/>
        </w:rPr>
        <w:t xml:space="preserve">communale </w:t>
      </w:r>
      <w:r>
        <w:rPr>
          <w:rFonts w:ascii="Century Gothic" w:hAnsi="Century Gothic"/>
          <w:i/>
          <w:u w:val="single"/>
        </w:rPr>
        <w:t xml:space="preserve">de </w:t>
      </w:r>
      <w:r>
        <w:rPr>
          <w:rFonts w:ascii="Century Gothic" w:hAnsi="Century Gothic"/>
          <w:i/>
          <w:u w:val="single"/>
        </w:rPr>
        <w:t>Tangassogo</w:t>
      </w:r>
    </w:p>
    <w:p>
      <w:pPr>
        <w:pStyle w:val="style0"/>
        <w:tabs>
          <w:tab w:val="left" w:leader="none" w:pos="9214"/>
          <w:tab w:val="left" w:leader="none" w:pos="9639"/>
        </w:tabs>
        <w:jc w:val="both"/>
        <w:rPr>
          <w:rFonts w:ascii="Century Gothic" w:hAnsi="Century Gothic"/>
          <w:i/>
          <w:u w:val="single"/>
        </w:rPr>
      </w:pPr>
    </w:p>
    <w:p>
      <w:pPr>
        <w:pStyle w:val="style0"/>
        <w:tabs>
          <w:tab w:val="left" w:leader="none" w:pos="9214"/>
          <w:tab w:val="left" w:leader="none" w:pos="9639"/>
        </w:tabs>
        <w:jc w:val="both"/>
        <w:rPr>
          <w:rFonts w:ascii="Century Gothic" w:hAnsi="Century Gothic"/>
        </w:rPr>
      </w:pPr>
      <w:r>
        <w:rPr>
          <w:rFonts w:ascii="Century Gothic" w:hAnsi="Century Gothic"/>
          <w:b/>
        </w:rPr>
        <w:t>L’objectif</w:t>
      </w:r>
      <w:r>
        <w:rPr>
          <w:rFonts w:ascii="Century Gothic" w:hAnsi="Century Gothic"/>
          <w:b/>
          <w:i/>
        </w:rPr>
        <w:t> :</w:t>
      </w:r>
      <w:r>
        <w:rPr>
          <w:rFonts w:ascii="Century Gothic" w:hAnsi="Century Gothic"/>
        </w:rPr>
        <w:t xml:space="preserve"> sécuriser l’intégrité physique de la forêt </w:t>
      </w:r>
      <w:r>
        <w:rPr>
          <w:rFonts w:ascii="Century Gothic" w:hAnsi="Century Gothic"/>
        </w:rPr>
        <w:t>de Tangassogo</w:t>
      </w:r>
      <w:r>
        <w:rPr>
          <w:rFonts w:ascii="Century Gothic" w:hAnsi="Century Gothic"/>
        </w:rPr>
        <w:t xml:space="preserve">.  </w:t>
      </w:r>
      <w:r>
        <w:rPr>
          <w:rFonts w:ascii="Century Gothic" w:hAnsi="Century Gothic"/>
          <w:b/>
        </w:rPr>
        <w:t>La</w:t>
      </w:r>
      <w:r>
        <w:rPr>
          <w:rFonts w:ascii="Century Gothic" w:hAnsi="Century Gothic"/>
        </w:rPr>
        <w:t xml:space="preserve"> </w:t>
      </w:r>
      <w:r>
        <w:rPr>
          <w:rFonts w:ascii="Century Gothic" w:hAnsi="Century Gothic"/>
          <w:b/>
        </w:rPr>
        <w:t>méthode</w:t>
      </w:r>
      <w:r>
        <w:rPr>
          <w:rFonts w:ascii="Century Gothic" w:hAnsi="Century Gothic"/>
        </w:rPr>
        <w:t xml:space="preserve"> va reposer sur la confection et la pose de bornes de (20cm/20</w:t>
      </w:r>
      <w:r>
        <w:rPr>
          <w:rFonts w:ascii="Century Gothic" w:hAnsi="Century Gothic"/>
        </w:rPr>
        <w:t>cm</w:t>
      </w:r>
      <w:r>
        <w:rPr>
          <w:rFonts w:ascii="Century Gothic" w:hAnsi="Century Gothic"/>
        </w:rPr>
        <w:t xml:space="preserve"> de base) sur les </w:t>
      </w:r>
      <w:r>
        <w:rPr>
          <w:rFonts w:ascii="Century Gothic" w:hAnsi="Century Gothic"/>
        </w:rPr>
        <w:t>limites</w:t>
      </w:r>
      <w:r>
        <w:rPr>
          <w:rFonts w:ascii="Century Gothic" w:hAnsi="Century Gothic"/>
        </w:rPr>
        <w:t xml:space="preserve"> de la forêt. Au total de </w:t>
      </w:r>
      <w:r>
        <w:rPr>
          <w:rFonts w:ascii="Century Gothic" w:hAnsi="Century Gothic"/>
        </w:rPr>
        <w:t>18</w:t>
      </w:r>
      <w:r>
        <w:rPr>
          <w:rFonts w:ascii="Century Gothic" w:hAnsi="Century Gothic"/>
        </w:rPr>
        <w:t xml:space="preserve"> bornes seront confectionnées et fixées et occuperont une superficie de </w:t>
      </w:r>
      <w:r>
        <w:rPr>
          <w:rFonts w:ascii="Century Gothic" w:hAnsi="Century Gothic"/>
        </w:rPr>
        <w:t>72</w:t>
      </w:r>
      <w:r>
        <w:rPr>
          <w:rFonts w:ascii="Century Gothic" w:hAnsi="Century Gothic"/>
        </w:rPr>
        <w:t>00cm² (</w:t>
      </w:r>
      <w:r>
        <w:rPr>
          <w:rFonts w:ascii="Century Gothic" w:hAnsi="Century Gothic"/>
        </w:rPr>
        <w:t>0,</w:t>
      </w:r>
      <w:r>
        <w:rPr>
          <w:rFonts w:ascii="Century Gothic" w:hAnsi="Century Gothic"/>
        </w:rPr>
        <w:t>72</w:t>
      </w:r>
      <w:r>
        <w:rPr>
          <w:rFonts w:ascii="Century Gothic" w:hAnsi="Century Gothic"/>
        </w:rPr>
        <w:t xml:space="preserve">m²) de surface. Le projet va faire recours à un prestataire pour la réalisation de l’activité. </w:t>
      </w:r>
      <w:r>
        <w:rPr>
          <w:rFonts w:ascii="Century Gothic" w:hAnsi="Century Gothic"/>
          <w:b/>
        </w:rPr>
        <w:t>Le résultat</w:t>
      </w:r>
      <w:r>
        <w:rPr>
          <w:rFonts w:ascii="Century Gothic" w:hAnsi="Century Gothic"/>
        </w:rPr>
        <w:t xml:space="preserve"> </w:t>
      </w:r>
      <w:r>
        <w:rPr>
          <w:rFonts w:ascii="Century Gothic" w:hAnsi="Century Gothic"/>
          <w:b/>
        </w:rPr>
        <w:t>attendu</w:t>
      </w:r>
      <w:r>
        <w:rPr>
          <w:rFonts w:ascii="Century Gothic" w:hAnsi="Century Gothic"/>
        </w:rPr>
        <w:t xml:space="preserve"> est que les limites de la forêt </w:t>
      </w:r>
      <w:r>
        <w:rPr>
          <w:rFonts w:ascii="Century Gothic" w:hAnsi="Century Gothic"/>
        </w:rPr>
        <w:t>de Tangassogo</w:t>
      </w:r>
      <w:r>
        <w:rPr>
          <w:rFonts w:ascii="Century Gothic" w:hAnsi="Century Gothic"/>
        </w:rPr>
        <w:t xml:space="preserve"> </w:t>
      </w:r>
      <w:r>
        <w:rPr>
          <w:rFonts w:ascii="Century Gothic" w:hAnsi="Century Gothic"/>
        </w:rPr>
        <w:t>sont matérialisées avec des bornes</w:t>
      </w:r>
      <w:r>
        <w:rPr>
          <w:rFonts w:ascii="Century Gothic" w:hAnsi="Century Gothic"/>
        </w:rPr>
        <w:t xml:space="preserve">.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seront constitués de l’expertise technique du prestataire et le suivi contrôle de qualité du service forestier. </w:t>
      </w:r>
      <w:r>
        <w:rPr>
          <w:rFonts w:ascii="Century Gothic" w:hAnsi="Century Gothic"/>
          <w:b/>
        </w:rPr>
        <w:t>Les moyens financiers</w:t>
      </w:r>
      <w:r>
        <w:rPr>
          <w:rFonts w:ascii="Century Gothic" w:hAnsi="Century Gothic"/>
        </w:rPr>
        <w:t xml:space="preserve"> seront frais du prestataire et de prise en charge du service forestier. Ces ressources seront financées par le budget du PDIC/REDD+ de </w:t>
      </w:r>
      <w:r>
        <w:rPr>
          <w:rFonts w:ascii="Century Gothic" w:hAnsi="Century Gothic"/>
        </w:rPr>
        <w:t>Tiébélé</w:t>
      </w:r>
      <w:r>
        <w:rPr>
          <w:rFonts w:ascii="Century Gothic" w:hAnsi="Century Gothic"/>
        </w:rPr>
        <w:t xml:space="preserve">. L’organisation et la gestion de l’activité sera faite par la commune qui assure le rôle de coordination et prendra contact avec le prestataire sélectionné.  </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
        </w:rPr>
      </w:pPr>
      <w:r>
        <w:rPr>
          <w:rFonts w:ascii="Century Gothic" w:hAnsi="Century Gothic"/>
          <w:i/>
          <w:u w:val="single"/>
        </w:rPr>
        <w:t>Sous-Activité 4.</w:t>
      </w:r>
      <w:r>
        <w:rPr>
          <w:rFonts w:ascii="Century Gothic" w:hAnsi="Century Gothic"/>
          <w:i/>
          <w:u w:val="single"/>
        </w:rPr>
        <w:t>2</w:t>
      </w:r>
      <w:r>
        <w:rPr>
          <w:rFonts w:ascii="Century Gothic" w:hAnsi="Century Gothic"/>
          <w:i/>
          <w:u w:val="single"/>
        </w:rPr>
        <w:t xml:space="preserve">.2.1.1.8. </w:t>
      </w:r>
      <w:r>
        <w:rPr>
          <w:rFonts w:ascii="Century Gothic" w:cs="Arial" w:hAnsi="Century Gothic"/>
          <w:i/>
          <w:u w:val="single"/>
        </w:rPr>
        <w:t xml:space="preserve">Confectionner et fixer cinq (5) de panneaux d'information et de sensibilisation sur la forêt </w:t>
      </w:r>
      <w:r>
        <w:rPr>
          <w:rFonts w:ascii="Century Gothic" w:cs="Arial" w:hAnsi="Century Gothic"/>
          <w:i/>
          <w:u w:val="single"/>
        </w:rPr>
        <w:t>de Tangassogo</w:t>
      </w: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rPr>
      </w:pPr>
      <w:r>
        <w:rPr>
          <w:rFonts w:ascii="Century Gothic" w:hAnsi="Century Gothic"/>
          <w:b/>
        </w:rPr>
        <w:t>L’objectif</w:t>
      </w:r>
      <w:r>
        <w:rPr>
          <w:rFonts w:ascii="Century Gothic" w:hAnsi="Century Gothic"/>
        </w:rPr>
        <w:t xml:space="preserve"> de cette activité est de renforcer la sécurisation et la visibilité de forêt </w:t>
      </w:r>
      <w:r>
        <w:rPr>
          <w:rFonts w:ascii="Century Gothic" w:hAnsi="Century Gothic"/>
        </w:rPr>
        <w:t>de Tangassogo</w:t>
      </w:r>
      <w:r>
        <w:rPr>
          <w:rFonts w:ascii="Century Gothic" w:cs="Arial" w:hAnsi="Century Gothic"/>
          <w:iCs/>
        </w:rPr>
        <w:t xml:space="preserve">. Cette activité vient renforcer l’activité de </w:t>
      </w:r>
      <w:r>
        <w:rPr>
          <w:rFonts w:ascii="Century Gothic" w:hAnsi="Century Gothic"/>
          <w:iCs/>
        </w:rPr>
        <w:t xml:space="preserve"> bornage et des plantations de délimitation. </w:t>
      </w:r>
      <w:r>
        <w:rPr>
          <w:rFonts w:ascii="Century Gothic" w:hAnsi="Century Gothic"/>
          <w:b/>
          <w:bCs/>
          <w:iCs/>
        </w:rPr>
        <w:t xml:space="preserve">La méthode </w:t>
      </w:r>
      <w:r>
        <w:rPr>
          <w:rFonts w:ascii="Century Gothic" w:hAnsi="Century Gothic"/>
          <w:bCs/>
          <w:iCs/>
        </w:rPr>
        <w:t>va reposer sur la conception des messages et leur</w:t>
      </w:r>
      <w:r>
        <w:rPr>
          <w:rFonts w:ascii="Century Gothic" w:hAnsi="Century Gothic"/>
          <w:bCs/>
        </w:rPr>
        <w:t xml:space="preserve"> validation par la commune, l’identification d’un prestataire pour la confection des panneaux et enfin leur fixation qui se feront avec l’appui du CDV du village</w:t>
      </w:r>
      <w:r>
        <w:rPr>
          <w:rFonts w:ascii="Century Gothic" w:hAnsi="Century Gothic"/>
        </w:rPr>
        <w:t xml:space="preserve">. </w:t>
      </w:r>
      <w:r>
        <w:rPr>
          <w:rFonts w:ascii="Century Gothic" w:hAnsi="Century Gothic"/>
          <w:b/>
        </w:rPr>
        <w:t xml:space="preserve">Le résultat attendu </w:t>
      </w:r>
      <w:r>
        <w:rPr>
          <w:rFonts w:ascii="Century Gothic" w:hAnsi="Century Gothic"/>
        </w:rPr>
        <w:t xml:space="preserve">est que la visibilité de la forêt est renforcée et les types d’utilisation et d’interdiction sont connus. </w:t>
      </w:r>
      <w:r>
        <w:rPr>
          <w:rFonts w:ascii="Century Gothic" w:hAnsi="Century Gothic"/>
          <w:b/>
        </w:rPr>
        <w:t>Les moyens matériels</w:t>
      </w:r>
      <w:r>
        <w:rPr>
          <w:rFonts w:ascii="Century Gothic" w:hAnsi="Century Gothic"/>
        </w:rPr>
        <w:t xml:space="preserve"> seront constitués de panneaux, de sable et ciment pour la fixation. Les trous de fixation seront </w:t>
      </w:r>
      <w:r>
        <w:rPr>
          <w:rFonts w:ascii="Century Gothic" w:hAnsi="Century Gothic"/>
        </w:rPr>
        <w:t xml:space="preserve">225 </w:t>
      </w:r>
      <w:r>
        <w:rPr>
          <w:rFonts w:ascii="Century Gothic" w:hAnsi="Century Gothic"/>
        </w:rPr>
        <w:t>cm²</w:t>
      </w:r>
      <w:r>
        <w:rPr>
          <w:rFonts w:ascii="Century Gothic" w:hAnsi="Century Gothic"/>
        </w:rPr>
        <w:t xml:space="preserve"> (15cm/15</w:t>
      </w:r>
      <w:r>
        <w:rPr>
          <w:rFonts w:ascii="Century Gothic" w:hAnsi="Century Gothic"/>
        </w:rPr>
        <w:t>cm</w:t>
      </w:r>
      <w:r>
        <w:rPr>
          <w:rFonts w:ascii="Century Gothic" w:hAnsi="Century Gothic"/>
        </w:rPr>
        <w:t>)</w:t>
      </w:r>
      <w:r>
        <w:rPr>
          <w:rFonts w:ascii="Century Gothic" w:hAnsi="Century Gothic"/>
        </w:rPr>
        <w:t xml:space="preserve"> par pied de panneau soit un total de </w:t>
      </w:r>
      <w:r>
        <w:rPr>
          <w:rFonts w:ascii="Century Gothic" w:hAnsi="Century Gothic"/>
        </w:rPr>
        <w:t>45</w:t>
      </w:r>
      <w:r>
        <w:rPr>
          <w:rFonts w:ascii="Century Gothic" w:hAnsi="Century Gothic"/>
        </w:rPr>
        <w:t xml:space="preserve">0cm² par panneau. Ce qui donne un total pour les cinq panneaux de </w:t>
      </w:r>
      <w:r>
        <w:rPr>
          <w:rFonts w:ascii="Century Gothic" w:hAnsi="Century Gothic"/>
        </w:rPr>
        <w:t>2</w:t>
      </w:r>
      <w:r>
        <w:rPr>
          <w:rFonts w:ascii="Century Gothic" w:hAnsi="Century Gothic"/>
        </w:rPr>
        <w:t> </w:t>
      </w:r>
      <w:r>
        <w:rPr>
          <w:rFonts w:ascii="Century Gothic" w:hAnsi="Century Gothic"/>
        </w:rPr>
        <w:t>25</w:t>
      </w:r>
      <w:r>
        <w:rPr>
          <w:rFonts w:ascii="Century Gothic" w:hAnsi="Century Gothic"/>
        </w:rPr>
        <w:t>0</w:t>
      </w:r>
      <w:r>
        <w:rPr>
          <w:rFonts w:ascii="Century Gothic" w:hAnsi="Century Gothic"/>
        </w:rPr>
        <w:t xml:space="preserve"> </w:t>
      </w:r>
      <w:r>
        <w:rPr>
          <w:rFonts w:ascii="Century Gothic" w:hAnsi="Century Gothic"/>
        </w:rPr>
        <w:t>cm² (</w:t>
      </w:r>
      <w:r>
        <w:rPr>
          <w:rFonts w:ascii="Century Gothic" w:hAnsi="Century Gothic"/>
        </w:rPr>
        <w:t xml:space="preserve">0,225 </w:t>
      </w:r>
      <w:r>
        <w:rPr>
          <w:rFonts w:ascii="Century Gothic" w:hAnsi="Century Gothic"/>
        </w:rPr>
        <w:t xml:space="preserve">m²). </w:t>
      </w:r>
      <w:r>
        <w:rPr>
          <w:rFonts w:ascii="Century Gothic" w:hAnsi="Century Gothic"/>
          <w:b/>
        </w:rPr>
        <w:t>Les</w:t>
      </w:r>
      <w:r>
        <w:rPr>
          <w:rFonts w:ascii="Century Gothic" w:hAnsi="Century Gothic"/>
        </w:rPr>
        <w:t xml:space="preserve"> </w:t>
      </w:r>
      <w:r>
        <w:rPr>
          <w:rFonts w:ascii="Century Gothic" w:hAnsi="Century Gothic"/>
          <w:b/>
        </w:rPr>
        <w:t xml:space="preserve">moyens humains </w:t>
      </w:r>
      <w:r>
        <w:rPr>
          <w:rFonts w:ascii="Century Gothic" w:hAnsi="Century Gothic"/>
        </w:rPr>
        <w:t xml:space="preserve">seront constitués de prestataire pour la confection des panneaux et de main d’œuvre locale pour la fixation. </w:t>
      </w:r>
      <w:r>
        <w:rPr>
          <w:rFonts w:ascii="Century Gothic" w:hAnsi="Century Gothic"/>
          <w:b/>
        </w:rPr>
        <w:t>Les moyens financiers</w:t>
      </w:r>
      <w:r>
        <w:rPr>
          <w:rFonts w:ascii="Century Gothic" w:hAnsi="Century Gothic"/>
        </w:rPr>
        <w:t xml:space="preserve"> seront constitués de frais de confection et de fixation. Ces ressources seront financées par le budget du PDIC/REDD+ de </w:t>
      </w:r>
      <w:r>
        <w:rPr>
          <w:rFonts w:ascii="Century Gothic" w:hAnsi="Century Gothic"/>
        </w:rPr>
        <w:t>Tiébélé</w:t>
      </w:r>
      <w:r>
        <w:rPr>
          <w:rFonts w:ascii="Century Gothic" w:hAnsi="Century Gothic"/>
        </w:rPr>
        <w:t xml:space="preserve">. L’organisation et la gestion de l’activité sera faite par la commune qui assure le rôle de coordination et prendra contact avec le prestataire sélectionné et le </w:t>
      </w:r>
      <w:r>
        <w:rPr>
          <w:rFonts w:ascii="Century Gothic" w:hAnsi="Century Gothic"/>
        </w:rPr>
        <w:t>comité de gestion de la forêt</w:t>
      </w:r>
      <w:r>
        <w:rPr>
          <w:rFonts w:ascii="Century Gothic" w:hAnsi="Century Gothic"/>
        </w:rPr>
        <w:t xml:space="preserve">.  </w:t>
      </w:r>
    </w:p>
    <w:p>
      <w:pPr>
        <w:pStyle w:val="style0"/>
        <w:tabs>
          <w:tab w:val="left" w:leader="none" w:pos="9214"/>
          <w:tab w:val="left" w:leader="none" w:pos="9639"/>
        </w:tabs>
        <w:jc w:val="both"/>
        <w:rPr>
          <w:rFonts w:ascii="Century Gothic" w:hAnsi="Century Gothic"/>
          <w:bCs/>
        </w:rPr>
      </w:pPr>
    </w:p>
    <w:bookmarkStart w:id="31" w:name="_Toc82046081"/>
    <w:p>
      <w:pPr>
        <w:pStyle w:val="style3"/>
        <w:numPr>
          <w:ilvl w:val="0"/>
          <w:numId w:val="0"/>
        </w:numPr>
        <w:tabs>
          <w:tab w:val="left" w:leader="none" w:pos="9214"/>
          <w:tab w:val="left" w:leader="none" w:pos="9639"/>
        </w:tabs>
        <w:rPr>
          <w:rFonts w:ascii="Century Gothic" w:hAnsi="Century Gothic"/>
          <w:szCs w:val="24"/>
        </w:rPr>
      </w:pPr>
      <w:r>
        <w:rPr>
          <w:rFonts w:ascii="Century Gothic" w:hAnsi="Century Gothic"/>
          <w:szCs w:val="24"/>
        </w:rPr>
        <w:t>4.</w:t>
      </w:r>
      <w:r>
        <w:rPr>
          <w:rFonts w:ascii="Century Gothic" w:hAnsi="Century Gothic"/>
          <w:szCs w:val="24"/>
        </w:rPr>
        <w:t>2</w:t>
      </w:r>
      <w:r>
        <w:rPr>
          <w:rFonts w:ascii="Century Gothic" w:hAnsi="Century Gothic"/>
          <w:szCs w:val="24"/>
        </w:rPr>
        <w:t xml:space="preserve">.2.2 Activités induites d’amélioration des productivités et des revenus dans l’espace de conservation de </w:t>
      </w:r>
      <w:r>
        <w:rPr>
          <w:rFonts w:ascii="Century Gothic" w:hAnsi="Century Gothic"/>
          <w:szCs w:val="24"/>
        </w:rPr>
        <w:t>Tangassogo</w:t>
      </w:r>
      <w:bookmarkEnd w:id="31"/>
    </w:p>
    <w:p>
      <w:pPr>
        <w:pStyle w:val="style0"/>
        <w:tabs>
          <w:tab w:val="left" w:leader="none" w:pos="9214"/>
          <w:tab w:val="left" w:leader="none" w:pos="9639"/>
        </w:tabs>
        <w:jc w:val="both"/>
        <w:rPr>
          <w:rFonts w:ascii="Century Gothic" w:hAnsi="Century Gothic"/>
          <w:b/>
          <w:bCs/>
          <w:i/>
        </w:rPr>
      </w:pPr>
    </w:p>
    <w:p>
      <w:pPr>
        <w:pStyle w:val="style0"/>
        <w:tabs>
          <w:tab w:val="left" w:leader="none" w:pos="9214"/>
          <w:tab w:val="left" w:leader="none" w:pos="9639"/>
        </w:tabs>
        <w:jc w:val="both"/>
        <w:outlineLvl w:val="3"/>
        <w:rPr>
          <w:rFonts w:ascii="Century Gothic" w:hAnsi="Century Gothic"/>
          <w:i/>
          <w:iCs/>
          <w:u w:val="single"/>
        </w:rPr>
      </w:pPr>
      <w:r>
        <w:rPr>
          <w:rFonts w:ascii="Century Gothic" w:hAnsi="Century Gothic"/>
          <w:bCs/>
          <w:i/>
          <w:u w:val="single"/>
        </w:rPr>
        <w:t xml:space="preserve">Activité </w:t>
      </w:r>
      <w:r>
        <w:rPr>
          <w:rFonts w:ascii="Century Gothic" w:hAnsi="Century Gothic"/>
          <w:i/>
          <w:u w:val="single"/>
        </w:rPr>
        <w:t>4.</w:t>
      </w:r>
      <w:r>
        <w:rPr>
          <w:rFonts w:ascii="Century Gothic" w:hAnsi="Century Gothic"/>
          <w:i/>
          <w:u w:val="single"/>
        </w:rPr>
        <w:t>2</w:t>
      </w:r>
      <w:r>
        <w:rPr>
          <w:rFonts w:ascii="Century Gothic" w:hAnsi="Century Gothic"/>
          <w:i/>
          <w:u w:val="single"/>
        </w:rPr>
        <w:t>.2.2.1</w:t>
      </w:r>
      <w:r>
        <w:rPr>
          <w:rFonts w:ascii="Century Gothic" w:hAnsi="Century Gothic"/>
          <w:bCs/>
          <w:i/>
          <w:u w:val="single"/>
        </w:rPr>
        <w:t xml:space="preserve">. Appuyer 100 producteurs à la production et à l’utilisation du compost dans l’espace de conservation de </w:t>
      </w:r>
      <w:r>
        <w:rPr>
          <w:rFonts w:ascii="Century Gothic" w:hAnsi="Century Gothic"/>
          <w:bCs/>
          <w:i/>
          <w:u w:val="single"/>
        </w:rPr>
        <w:t>T</w:t>
      </w:r>
      <w:r>
        <w:rPr>
          <w:rFonts w:ascii="Century Gothic" w:hAnsi="Century Gothic"/>
          <w:bCs/>
          <w:i/>
          <w:u w:val="single"/>
        </w:rPr>
        <w:t>angassogo</w:t>
      </w:r>
      <w:r>
        <w:rPr>
          <w:rFonts w:ascii="Century Gothic" w:hAnsi="Century Gothic"/>
          <w:bCs/>
          <w:i/>
          <w:u w:val="single"/>
        </w:rPr>
        <w:t xml:space="preserve"> </w:t>
      </w:r>
      <w:r>
        <w:rPr>
          <w:rFonts w:ascii="Century Gothic" w:hAnsi="Century Gothic"/>
          <w:bCs/>
          <w:i/>
          <w:u w:val="single"/>
        </w:rPr>
        <w:t>(</w:t>
      </w:r>
      <w:r>
        <w:rPr>
          <w:rFonts w:ascii="Century Gothic" w:hAnsi="Century Gothic"/>
          <w:bCs/>
          <w:i/>
          <w:u w:val="single"/>
        </w:rPr>
        <w:t xml:space="preserve">(villages </w:t>
      </w:r>
      <w:r>
        <w:rPr>
          <w:rFonts w:ascii="Century Gothic" w:hAnsi="Century Gothic"/>
        </w:rPr>
        <w:t>Ouédiabié-Tangassogo et Ourobié-Tangassogo</w:t>
      </w:r>
      <w:r>
        <w:rPr>
          <w:rFonts w:ascii="Century Gothic" w:hAnsi="Century Gothic"/>
          <w:bCs/>
          <w:i/>
        </w:rPr>
        <w:t>)</w:t>
      </w:r>
    </w:p>
    <w:p>
      <w:pPr>
        <w:pStyle w:val="style0"/>
        <w:tabs>
          <w:tab w:val="left" w:leader="none" w:pos="9214"/>
          <w:tab w:val="left" w:leader="none" w:pos="9639"/>
        </w:tabs>
        <w:jc w:val="both"/>
        <w:outlineLvl w:val="3"/>
        <w:rPr>
          <w:rFonts w:ascii="Century Gothic" w:hAnsi="Century Gothic"/>
          <w:i/>
          <w:iCs/>
          <w:u w:val="single"/>
        </w:rPr>
      </w:pPr>
    </w:p>
    <w:p>
      <w:pPr>
        <w:pStyle w:val="style0"/>
        <w:tabs>
          <w:tab w:val="left" w:leader="none" w:pos="9214"/>
          <w:tab w:val="left" w:leader="none" w:pos="9639"/>
        </w:tabs>
        <w:jc w:val="both"/>
        <w:outlineLvl w:val="3"/>
        <w:rPr>
          <w:rFonts w:ascii="Century Gothic" w:hAnsi="Century Gothic"/>
          <w:bCs/>
        </w:rPr>
      </w:pPr>
      <w:r>
        <w:rPr>
          <w:rFonts w:ascii="Century Gothic" w:hAnsi="Century Gothic"/>
          <w:b/>
        </w:rPr>
        <w:t>L’objectif</w:t>
      </w:r>
      <w:r>
        <w:rPr>
          <w:rFonts w:ascii="Century Gothic" w:hAnsi="Century Gothic"/>
        </w:rPr>
        <w:t xml:space="preserve"> de cette activité est d’appuyer les producteurs à réaliser des fosses fumières pour produire de la fumure organique et fertiliser les sols en vue d’accroître les rendements agricoles. L’accroissement des rendements agricoles permettra d’atténuer le phénomène des nouvelles défriches afin de préserver les espaces de conservation </w:t>
      </w:r>
      <w:r>
        <w:rPr>
          <w:rFonts w:ascii="Century Gothic" w:hAnsi="Century Gothic"/>
          <w:b/>
        </w:rPr>
        <w:t xml:space="preserve">La méthode </w:t>
      </w:r>
      <w:r>
        <w:rPr>
          <w:rFonts w:ascii="Century Gothic" w:hAnsi="Century Gothic"/>
        </w:rPr>
        <w:t xml:space="preserve">consistera à doter les bénéficiaires d’un kit de matériels (pioche, pelle, râteaux, fourche et de Burkina phosphate pour la préparation du </w:t>
      </w:r>
      <w:r>
        <w:rPr>
          <w:rFonts w:ascii="Century Gothic" w:hAnsi="Century Gothic"/>
        </w:rPr>
        <w:t xml:space="preserve">compost). Le bénéficiaire prendra en charge la collecte des agrégats (paille, résidus agricoles, fumier, etc.). L’activité sera réalisée avec l’appui technique chef ZATA de </w:t>
      </w:r>
      <w:r>
        <w:rPr>
          <w:rFonts w:ascii="Century Gothic" w:hAnsi="Century Gothic"/>
        </w:rPr>
        <w:t>Tiébélé</w:t>
      </w:r>
      <w:r>
        <w:rPr>
          <w:rFonts w:ascii="Century Gothic" w:hAnsi="Century Gothic"/>
        </w:rPr>
        <w:t xml:space="preserve"> </w:t>
      </w:r>
      <w:r>
        <w:rPr>
          <w:rFonts w:ascii="Century Gothic" w:hAnsi="Century Gothic"/>
        </w:rPr>
        <w:t xml:space="preserve">sur la base d’un protocole précisant les modalités de son intervention. Il participera avec les producteurs à l’identification des bénéficiaires qui se fera sur la base du volontariat. Un rapport de suivis périodiques des réalisations permettra de suivre la mise en œuvre de l’activité. </w:t>
      </w:r>
      <w:r>
        <w:rPr>
          <w:rFonts w:ascii="Century Gothic" w:hAnsi="Century Gothic"/>
          <w:b/>
        </w:rPr>
        <w:t>Le résultat attendu</w:t>
      </w:r>
      <w:r>
        <w:rPr>
          <w:rFonts w:ascii="Century Gothic" w:hAnsi="Century Gothic"/>
        </w:rPr>
        <w:t xml:space="preserve"> de l’activité est qu’au moins cent (100) tas de fumure organique sont produits par an pendant trois années. Ce qui donne un total de 300 tas pour une superficie emblavée d’environ 37.5 hectares (8 tas pour 1 hectare)</w:t>
      </w:r>
      <w:r>
        <w:rPr>
          <w:rFonts w:ascii="Century Gothic" w:hAnsi="Century Gothic"/>
        </w:rPr>
        <w:t xml:space="preserve">. </w:t>
      </w:r>
      <w:r>
        <w:rPr>
          <w:rFonts w:ascii="Century Gothic" w:hAnsi="Century Gothic"/>
          <w:b/>
        </w:rPr>
        <w:t>Les moyens physiques</w:t>
      </w:r>
      <w:r>
        <w:rPr>
          <w:rFonts w:ascii="Century Gothic" w:hAnsi="Century Gothic"/>
        </w:rPr>
        <w:t xml:space="preserve"> se résumeront en matériels (pelles, pioche) et </w:t>
      </w:r>
      <w:r>
        <w:rPr>
          <w:rFonts w:ascii="Century Gothic" w:hAnsi="Century Gothic"/>
          <w:b/>
        </w:rPr>
        <w:t>moyens humains</w:t>
      </w:r>
      <w:r>
        <w:rPr>
          <w:rFonts w:ascii="Century Gothic" w:hAnsi="Century Gothic"/>
        </w:rPr>
        <w:t xml:space="preserve"> constitués de l’expertise du service de l’agriculture. </w:t>
      </w:r>
      <w:r>
        <w:rPr>
          <w:rFonts w:ascii="Century Gothic" w:hAnsi="Century Gothic"/>
          <w:b/>
        </w:rPr>
        <w:t>Les</w:t>
      </w:r>
      <w:r>
        <w:rPr>
          <w:rFonts w:ascii="Century Gothic" w:hAnsi="Century Gothic"/>
        </w:rPr>
        <w:t xml:space="preserve"> </w:t>
      </w:r>
      <w:r>
        <w:rPr>
          <w:rFonts w:ascii="Century Gothic" w:hAnsi="Century Gothic"/>
          <w:b/>
        </w:rPr>
        <w:t xml:space="preserve">moyens financiers sont </w:t>
      </w:r>
      <w:r>
        <w:rPr>
          <w:rFonts w:ascii="Century Gothic" w:hAnsi="Century Gothic"/>
        </w:rPr>
        <w:t xml:space="preserve">composés des honoraires </w:t>
      </w:r>
      <w:r>
        <w:rPr>
          <w:rFonts w:ascii="Century Gothic" w:hAnsi="Century Gothic"/>
        </w:rPr>
        <w:t xml:space="preserve">et </w:t>
      </w:r>
      <w:r>
        <w:rPr>
          <w:rFonts w:ascii="Century Gothic" w:hAnsi="Century Gothic"/>
        </w:rPr>
        <w:t xml:space="preserve">du suivi. Ces ressources seront financées par le budget du PDIC/REDD+ de </w:t>
      </w:r>
      <w:r>
        <w:rPr>
          <w:rFonts w:ascii="Century Gothic" w:hAnsi="Century Gothic"/>
        </w:rPr>
        <w:t>Tiébélé</w:t>
      </w:r>
      <w:r>
        <w:rPr>
          <w:rFonts w:ascii="Century Gothic" w:hAnsi="Century Gothic"/>
        </w:rPr>
        <w:t xml:space="preserve">. L’organisation et la gestion de l’activité sera faite par le maire qui assure le rôle de coordination de l’activité en collaboration avec le service de l’agriculture.  </w:t>
      </w:r>
    </w:p>
    <w:p>
      <w:pPr>
        <w:pStyle w:val="style0"/>
        <w:tabs>
          <w:tab w:val="left" w:leader="none" w:pos="9214"/>
          <w:tab w:val="left" w:leader="none" w:pos="9639"/>
        </w:tabs>
        <w:jc w:val="both"/>
        <w:outlineLvl w:val="3"/>
        <w:rPr>
          <w:rFonts w:ascii="Century Gothic" w:hAnsi="Century Gothic"/>
          <w:bCs/>
        </w:rPr>
      </w:pPr>
      <w:r>
        <w:rPr>
          <w:rFonts w:ascii="Century Gothic" w:hAnsi="Century Gothic"/>
        </w:rPr>
        <w:t xml:space="preserve">  </w:t>
      </w:r>
    </w:p>
    <w:p>
      <w:pPr>
        <w:pStyle w:val="style0"/>
        <w:tabs>
          <w:tab w:val="left" w:leader="none" w:pos="1701"/>
          <w:tab w:val="left" w:leader="none" w:pos="9214"/>
          <w:tab w:val="left" w:leader="none" w:pos="9639"/>
        </w:tabs>
        <w:suppressAutoHyphens/>
        <w:jc w:val="both"/>
        <w:rPr>
          <w:rFonts w:ascii="Century Gothic" w:hAnsi="Century Gothic"/>
          <w:bCs/>
          <w:i/>
        </w:rPr>
      </w:pPr>
      <w:r>
        <w:rPr>
          <w:rFonts w:ascii="Century Gothic" w:hAnsi="Century Gothic"/>
          <w:bCs/>
          <w:i/>
          <w:u w:val="single"/>
        </w:rPr>
        <w:t xml:space="preserve">Activité </w:t>
      </w:r>
      <w:r>
        <w:rPr>
          <w:rFonts w:ascii="Century Gothic" w:hAnsi="Century Gothic"/>
          <w:i/>
          <w:u w:val="single"/>
        </w:rPr>
        <w:t>4</w:t>
      </w:r>
      <w:r>
        <w:rPr>
          <w:rFonts w:ascii="Century Gothic" w:hAnsi="Century Gothic"/>
          <w:i/>
          <w:u w:val="single"/>
        </w:rPr>
        <w:t>.2</w:t>
      </w:r>
      <w:r>
        <w:rPr>
          <w:rFonts w:ascii="Century Gothic" w:hAnsi="Century Gothic"/>
          <w:i/>
          <w:u w:val="single"/>
        </w:rPr>
        <w:t>.2.2.2</w:t>
      </w:r>
      <w:r>
        <w:rPr>
          <w:rFonts w:ascii="Century Gothic" w:hAnsi="Century Gothic"/>
          <w:bCs/>
          <w:i/>
          <w:u w:val="single"/>
        </w:rPr>
        <w:t xml:space="preserve">. </w:t>
      </w:r>
      <w:r>
        <w:rPr>
          <w:rFonts w:ascii="Century Gothic" w:hAnsi="Century Gothic"/>
          <w:i/>
          <w:iCs/>
          <w:u w:val="single"/>
        </w:rPr>
        <w:t xml:space="preserve">Appuyer 100 producteurs la fauche et conservation du fourrage naturel dans les villages riverains de l‘espace de conservation </w:t>
      </w:r>
      <w:r>
        <w:rPr>
          <w:rFonts w:ascii="Century Gothic" w:hAnsi="Century Gothic"/>
          <w:i/>
          <w:iCs/>
          <w:u w:val="single"/>
        </w:rPr>
        <w:t>T</w:t>
      </w:r>
      <w:r>
        <w:rPr>
          <w:rFonts w:ascii="Century Gothic" w:hAnsi="Century Gothic"/>
          <w:i/>
          <w:iCs/>
          <w:u w:val="single"/>
        </w:rPr>
        <w:t>angassogo</w:t>
      </w:r>
      <w:r>
        <w:rPr>
          <w:rFonts w:ascii="Century Gothic" w:hAnsi="Century Gothic"/>
          <w:i/>
          <w:iCs/>
          <w:u w:val="single"/>
        </w:rPr>
        <w:t xml:space="preserve"> </w:t>
      </w:r>
      <w:r>
        <w:rPr>
          <w:rFonts w:ascii="Century Gothic" w:hAnsi="Century Gothic"/>
          <w:bCs/>
          <w:i/>
          <w:u w:val="single"/>
        </w:rPr>
        <w:t xml:space="preserve">(villages </w:t>
      </w:r>
      <w:r>
        <w:rPr>
          <w:rFonts w:ascii="Century Gothic" w:hAnsi="Century Gothic"/>
        </w:rPr>
        <w:t>Ouédiabié-Tangassogo et Ourobié-Tangassogo</w:t>
      </w:r>
      <w:r>
        <w:rPr>
          <w:rFonts w:ascii="Century Gothic" w:hAnsi="Century Gothic"/>
          <w:bCs/>
          <w:i/>
        </w:rPr>
        <w:t>)</w:t>
      </w:r>
    </w:p>
    <w:p>
      <w:pPr>
        <w:pStyle w:val="style0"/>
        <w:tabs>
          <w:tab w:val="left" w:leader="none" w:pos="1701"/>
          <w:tab w:val="left" w:leader="none" w:pos="9214"/>
          <w:tab w:val="left" w:leader="none" w:pos="9639"/>
        </w:tabs>
        <w:suppressAutoHyphens/>
        <w:jc w:val="both"/>
        <w:rPr>
          <w:rFonts w:ascii="Century Gothic" w:hAnsi="Century Gothic"/>
          <w:iCs/>
        </w:rPr>
      </w:pPr>
    </w:p>
    <w:p>
      <w:pPr>
        <w:pStyle w:val="style0"/>
        <w:tabs>
          <w:tab w:val="left" w:leader="none" w:pos="1701"/>
          <w:tab w:val="left" w:leader="none" w:pos="9214"/>
          <w:tab w:val="left" w:leader="none" w:pos="9639"/>
        </w:tabs>
        <w:suppressAutoHyphens/>
        <w:jc w:val="both"/>
        <w:rPr>
          <w:rFonts w:ascii="Century Gothic" w:hAnsi="Century Gothic"/>
          <w:bCs/>
          <w:i/>
          <w:u w:val="single"/>
        </w:rPr>
      </w:pPr>
      <w:r>
        <w:rPr>
          <w:rFonts w:ascii="Century Gothic" w:hAnsi="Century Gothic"/>
          <w:b/>
        </w:rPr>
        <w:t>L’objectif</w:t>
      </w:r>
      <w:r>
        <w:rPr>
          <w:rFonts w:ascii="Century Gothic" w:hAnsi="Century Gothic"/>
        </w:rPr>
        <w:t xml:space="preserve"> de cette activité est de doter les producteurs de kits de matériel de fauche et de conservation du fourrage naturel. Elle vise d’une part une augmentation de la production du fourrage et de sa conservation dans de bonnes conditions et d’autre part son utilisation en saison sèche comme aliment à bétail dans une optique de conservation des ressources forestières et participe à la résolution de la difficulté relative à la f</w:t>
      </w:r>
      <w:r>
        <w:rPr>
          <w:rFonts w:ascii="Century Gothic" w:cs="Tahoma" w:hAnsi="Century Gothic"/>
        </w:rPr>
        <w:t>aible disponibilité de l’offre fourragère et dans la commune en saison sèche</w:t>
      </w:r>
      <w:r>
        <w:rPr>
          <w:rFonts w:ascii="Century Gothic" w:hAnsi="Century Gothic"/>
        </w:rPr>
        <w:t xml:space="preserve">. </w:t>
      </w:r>
      <w:r>
        <w:rPr>
          <w:rFonts w:ascii="Century Gothic" w:hAnsi="Century Gothic"/>
          <w:b/>
          <w:bCs/>
        </w:rPr>
        <w:t>La méthode</w:t>
      </w:r>
      <w:r>
        <w:rPr>
          <w:rFonts w:ascii="Century Gothic" w:hAnsi="Century Gothic"/>
          <w:bCs/>
        </w:rPr>
        <w:t xml:space="preserve"> consistera à la dotation des cent (100) producteurs formés en kit de fauche (</w:t>
      </w:r>
      <w:r>
        <w:rPr>
          <w:rFonts w:ascii="Century Gothic" w:hAnsi="Century Gothic"/>
        </w:rPr>
        <w:t xml:space="preserve">botteleuse, 01 faucilles, 01 paire de botte) et de conservation (fenil de 10 tôles en brique (l’apport du projet portera uniquement sur les tôles, chevrons et le transport). </w:t>
      </w:r>
      <w:r>
        <w:rPr>
          <w:rFonts w:ascii="Century Gothic" w:hAnsi="Century Gothic"/>
          <w:b/>
        </w:rPr>
        <w:t>Le résultat attendu</w:t>
      </w:r>
      <w:r>
        <w:rPr>
          <w:rFonts w:ascii="Century Gothic" w:hAnsi="Century Gothic"/>
        </w:rPr>
        <w:t xml:space="preserve"> de l’activité est que les capacités de la commune en matière de fauche et de conservation du fourrage sont renforcées. </w:t>
      </w:r>
      <w:r>
        <w:rPr>
          <w:rFonts w:ascii="Century Gothic" w:hAnsi="Century Gothic"/>
          <w:b/>
        </w:rPr>
        <w:t>Les moyens matériels</w:t>
      </w:r>
      <w:r>
        <w:rPr>
          <w:rFonts w:ascii="Century Gothic" w:hAnsi="Century Gothic"/>
        </w:rPr>
        <w:t xml:space="preserve"> se résumeront à la l’appui en tôle et en kits de fauche. Les </w:t>
      </w:r>
      <w:r>
        <w:rPr>
          <w:rFonts w:ascii="Century Gothic" w:hAnsi="Century Gothic"/>
          <w:b/>
        </w:rPr>
        <w:t>moyens humains</w:t>
      </w:r>
      <w:r>
        <w:rPr>
          <w:rFonts w:ascii="Century Gothic" w:hAnsi="Century Gothic"/>
        </w:rPr>
        <w:t xml:space="preserve"> constitués de l’expertise de l’agent des ressources animales pour le suivi conseil. </w:t>
      </w:r>
      <w:r>
        <w:rPr>
          <w:rFonts w:ascii="Century Gothic" w:hAnsi="Century Gothic"/>
          <w:b/>
        </w:rPr>
        <w:t>Les moyens financiers</w:t>
      </w:r>
      <w:r>
        <w:rPr>
          <w:rFonts w:ascii="Century Gothic" w:hAnsi="Century Gothic"/>
        </w:rPr>
        <w:t xml:space="preserve"> seront constitués de frais d’acquisition de matériels et le suivi technique à la charge du PDIC/REDD+ de </w:t>
      </w:r>
      <w:r>
        <w:rPr>
          <w:rFonts w:ascii="Century Gothic" w:hAnsi="Century Gothic"/>
        </w:rPr>
        <w:t>Tiébélé</w:t>
      </w:r>
      <w:r>
        <w:rPr>
          <w:rFonts w:ascii="Century Gothic" w:hAnsi="Century Gothic"/>
        </w:rPr>
        <w:t xml:space="preserve">. La réalisation et l’entretien des tas de compost constitueront la contribution en nature des bénéficiaires. L’organisation et la gestion de l’activité sera faite par le maire qui assure le rôle de coordination de l’activité en collaboration avec le service des ressources animales de la commune de </w:t>
      </w:r>
      <w:r>
        <w:rPr>
          <w:rFonts w:ascii="Century Gothic" w:hAnsi="Century Gothic"/>
        </w:rPr>
        <w:t>Tiébélé</w:t>
      </w:r>
      <w:r>
        <w:rPr>
          <w:rFonts w:ascii="Century Gothic" w:hAnsi="Century Gothic"/>
        </w:rPr>
        <w:t>.</w:t>
      </w:r>
    </w:p>
    <w:p>
      <w:pPr>
        <w:pStyle w:val="style0"/>
        <w:tabs>
          <w:tab w:val="left" w:leader="none" w:pos="9214"/>
          <w:tab w:val="left" w:leader="none" w:pos="9639"/>
        </w:tabs>
        <w:jc w:val="both"/>
        <w:rPr>
          <w:rFonts w:ascii="Century Gothic" w:hAnsi="Century Gothic"/>
          <w:bCs/>
          <w:i/>
          <w:u w:val="single"/>
        </w:rPr>
      </w:pPr>
    </w:p>
    <w:p>
      <w:pPr>
        <w:pStyle w:val="style0"/>
        <w:tabs>
          <w:tab w:val="left" w:leader="none" w:pos="1701"/>
          <w:tab w:val="left" w:leader="none" w:pos="9214"/>
          <w:tab w:val="left" w:leader="none" w:pos="9639"/>
        </w:tabs>
        <w:suppressAutoHyphens/>
        <w:jc w:val="both"/>
        <w:rPr>
          <w:rFonts w:ascii="Century Gothic" w:hAnsi="Century Gothic"/>
          <w:i/>
        </w:rPr>
      </w:pPr>
      <w:r>
        <w:rPr>
          <w:rFonts w:ascii="Century Gothic" w:hAnsi="Century Gothic"/>
          <w:bCs/>
          <w:i/>
          <w:u w:val="single"/>
        </w:rPr>
        <w:t xml:space="preserve">Activité </w:t>
      </w:r>
      <w:r>
        <w:rPr>
          <w:rFonts w:ascii="Century Gothic" w:hAnsi="Century Gothic"/>
          <w:i/>
          <w:u w:val="single"/>
        </w:rPr>
        <w:t>4.</w:t>
      </w:r>
      <w:r>
        <w:rPr>
          <w:rFonts w:ascii="Century Gothic" w:hAnsi="Century Gothic"/>
          <w:i/>
          <w:u w:val="single"/>
        </w:rPr>
        <w:t>2</w:t>
      </w:r>
      <w:r>
        <w:rPr>
          <w:rFonts w:ascii="Century Gothic" w:hAnsi="Century Gothic"/>
          <w:i/>
          <w:u w:val="single"/>
        </w:rPr>
        <w:t>.2.2.3</w:t>
      </w:r>
      <w:r>
        <w:rPr>
          <w:rFonts w:ascii="Century Gothic" w:hAnsi="Century Gothic"/>
          <w:bCs/>
          <w:i/>
          <w:u w:val="single"/>
        </w:rPr>
        <w:t xml:space="preserve">. Appuyer l’apiculture moderne </w:t>
      </w:r>
      <w:r>
        <w:rPr>
          <w:rFonts w:ascii="Century Gothic" w:hAnsi="Century Gothic"/>
          <w:i/>
          <w:u w:val="single"/>
        </w:rPr>
        <w:t xml:space="preserve">au profit de 40 jeunes et femmes dans l’espace de conservation de Tangassogo </w:t>
      </w:r>
      <w:r>
        <w:rPr>
          <w:rFonts w:ascii="Century Gothic" w:hAnsi="Century Gothic"/>
          <w:bCs/>
          <w:i/>
          <w:u w:val="single"/>
        </w:rPr>
        <w:t xml:space="preserve">(villages </w:t>
      </w:r>
      <w:r>
        <w:rPr>
          <w:rFonts w:ascii="Century Gothic" w:hAnsi="Century Gothic"/>
          <w:u w:val="single"/>
        </w:rPr>
        <w:t>Ouédiabié-Tangassogo et Ourobié-Tangassogo</w:t>
      </w:r>
      <w:r>
        <w:rPr>
          <w:rFonts w:ascii="Century Gothic" w:hAnsi="Century Gothic"/>
          <w:bCs/>
          <w:i/>
          <w:u w:val="single"/>
        </w:rPr>
        <w:t>)</w:t>
      </w:r>
    </w:p>
    <w:p>
      <w:pPr>
        <w:pStyle w:val="style0"/>
        <w:tabs>
          <w:tab w:val="left" w:leader="none" w:pos="1701"/>
          <w:tab w:val="left" w:leader="none" w:pos="9214"/>
          <w:tab w:val="left" w:leader="none" w:pos="9639"/>
        </w:tabs>
        <w:suppressAutoHyphens/>
        <w:jc w:val="both"/>
        <w:rPr>
          <w:rFonts w:ascii="Century Gothic" w:hAnsi="Century Gothic"/>
          <w:i/>
        </w:rPr>
      </w:pPr>
    </w:p>
    <w:p>
      <w:pPr>
        <w:pStyle w:val="style0"/>
        <w:tabs>
          <w:tab w:val="left" w:leader="none" w:pos="1701"/>
          <w:tab w:val="left" w:leader="none" w:pos="9214"/>
          <w:tab w:val="left" w:leader="none" w:pos="9639"/>
        </w:tabs>
        <w:suppressAutoHyphens/>
        <w:jc w:val="both"/>
        <w:rPr>
          <w:rFonts w:ascii="Century Gothic" w:hAnsi="Century Gothic"/>
          <w:bCs/>
          <w:i/>
          <w:u w:val="single"/>
        </w:rPr>
      </w:pPr>
      <w:r>
        <w:rPr>
          <w:rFonts w:ascii="Century Gothic" w:hAnsi="Century Gothic"/>
          <w:b/>
        </w:rPr>
        <w:t>L’o</w:t>
      </w:r>
      <w:r>
        <w:rPr>
          <w:rFonts w:ascii="Century Gothic" w:hAnsi="Century Gothic"/>
          <w:b/>
          <w:bCs/>
        </w:rPr>
        <w:t>bjectif </w:t>
      </w:r>
      <w:r>
        <w:rPr>
          <w:rFonts w:ascii="Century Gothic" w:hAnsi="Century Gothic"/>
          <w:bCs/>
        </w:rPr>
        <w:t xml:space="preserve">est d’appuyer les apprenants à produire du miel en quantité et en qualité. </w:t>
      </w:r>
      <w:r>
        <w:rPr>
          <w:rFonts w:ascii="Century Gothic" w:hAnsi="Century Gothic"/>
          <w:b/>
          <w:bCs/>
        </w:rPr>
        <w:t>La méthode</w:t>
      </w:r>
      <w:r>
        <w:rPr>
          <w:rFonts w:ascii="Century Gothic" w:hAnsi="Century Gothic"/>
          <w:bCs/>
        </w:rPr>
        <w:t xml:space="preserve"> sera de doter chaque sous-groupe de 4 personnes d’un kit apicole (ruches kenyanes à cadres trapézoïdaux, 4 combinaisons, 4 paires de bottes, 4 paires de gants, une brosse à abeilles, un lèvre-cadres, une enfumoir, un seau, un couteau, une torche, 4 caisses de récolte) par village. </w:t>
      </w:r>
      <w:r>
        <w:rPr>
          <w:rFonts w:ascii="Century Gothic" w:hAnsi="Century Gothic"/>
          <w:b/>
          <w:bCs/>
        </w:rPr>
        <w:t>Le résultat attendu </w:t>
      </w:r>
      <w:r>
        <w:rPr>
          <w:rFonts w:ascii="Century Gothic" w:hAnsi="Century Gothic"/>
          <w:bCs/>
        </w:rPr>
        <w:t xml:space="preserve">est que les apprenants sont équipés en kits apicoles et produisent du miel de qualité. </w:t>
      </w:r>
      <w:r>
        <w:rPr>
          <w:rFonts w:ascii="Century Gothic" w:hAnsi="Century Gothic"/>
          <w:b/>
        </w:rPr>
        <w:t xml:space="preserve">Les </w:t>
      </w:r>
      <w:r>
        <w:rPr>
          <w:rFonts w:ascii="Century Gothic" w:hAnsi="Century Gothic"/>
          <w:b/>
        </w:rPr>
        <w:t>moyens physiques</w:t>
      </w:r>
      <w:r>
        <w:rPr>
          <w:rFonts w:ascii="Century Gothic" w:hAnsi="Century Gothic"/>
        </w:rPr>
        <w:t xml:space="preserve"> se résumeront en matériels apicoles (ruches, abreuvoirs, etc..) et </w:t>
      </w:r>
      <w:r>
        <w:rPr>
          <w:rFonts w:ascii="Century Gothic" w:hAnsi="Century Gothic"/>
          <w:b/>
        </w:rPr>
        <w:t>moyens humains</w:t>
      </w:r>
      <w:r>
        <w:rPr>
          <w:rFonts w:ascii="Century Gothic" w:hAnsi="Century Gothic"/>
        </w:rPr>
        <w:t xml:space="preserve"> constitués de l’expertise d’un spécialiste en apiculture pour le suivi conseil aux apiculteurs. </w:t>
      </w:r>
      <w:r>
        <w:rPr>
          <w:rFonts w:ascii="Century Gothic" w:hAnsi="Century Gothic"/>
          <w:b/>
        </w:rPr>
        <w:t>Les moyens financiers</w:t>
      </w:r>
      <w:r>
        <w:rPr>
          <w:rFonts w:ascii="Century Gothic" w:hAnsi="Century Gothic"/>
        </w:rPr>
        <w:t xml:space="preserve"> seront constitués de frais d’acquisition de matériels et le suivi technique à la charge du PDIC/REDD+ de Tiébélé. L’organisation et la gestion de l’activité sera faite par le maire qui assure le rôle de coordination de l’activité en collaboration avec l’expert en apiculture.  </w:t>
      </w:r>
    </w:p>
    <w:p>
      <w:pPr>
        <w:pStyle w:val="style0"/>
        <w:tabs>
          <w:tab w:val="left" w:leader="none" w:pos="1701"/>
          <w:tab w:val="left" w:leader="none" w:pos="9214"/>
          <w:tab w:val="left" w:leader="none" w:pos="9639"/>
        </w:tabs>
        <w:suppressAutoHyphens/>
        <w:jc w:val="both"/>
        <w:rPr>
          <w:rFonts w:ascii="Century Gothic" w:hAnsi="Century Gothic"/>
          <w:b/>
        </w:rPr>
      </w:pPr>
    </w:p>
    <w:p>
      <w:pPr>
        <w:pStyle w:val="style0"/>
        <w:tabs>
          <w:tab w:val="left" w:leader="none" w:pos="1701"/>
          <w:tab w:val="left" w:leader="none" w:pos="9214"/>
          <w:tab w:val="left" w:leader="none" w:pos="9639"/>
        </w:tabs>
        <w:suppressAutoHyphens/>
        <w:jc w:val="both"/>
        <w:rPr>
          <w:rFonts w:ascii="Century Gothic" w:hAnsi="Century Gothic"/>
          <w:bCs/>
          <w:i/>
          <w:u w:val="single"/>
        </w:rPr>
      </w:pPr>
      <w:r>
        <w:rPr>
          <w:rFonts w:ascii="Century Gothic" w:hAnsi="Century Gothic"/>
          <w:bCs/>
          <w:i/>
          <w:u w:val="single"/>
        </w:rPr>
        <w:t xml:space="preserve">Activité </w:t>
      </w:r>
      <w:r>
        <w:rPr>
          <w:rFonts w:ascii="Century Gothic" w:hAnsi="Century Gothic"/>
          <w:i/>
          <w:u w:val="single"/>
        </w:rPr>
        <w:t>4.1.2.2.4</w:t>
      </w:r>
      <w:r>
        <w:rPr>
          <w:rFonts w:ascii="Century Gothic" w:hAnsi="Century Gothic"/>
          <w:bCs/>
          <w:i/>
          <w:u w:val="single"/>
        </w:rPr>
        <w:t xml:space="preserve">. Mettre en place une unité  de transformation des PFNL dans l’espace de conservation de Tangassogo au profit de l’union des SCOOP </w:t>
      </w:r>
      <w:r>
        <w:rPr>
          <w:rFonts w:ascii="Century Gothic" w:hAnsi="Century Gothic"/>
          <w:i/>
          <w:u w:val="single"/>
        </w:rPr>
        <w:t>KOUDJIGUI-TINA</w:t>
      </w:r>
      <w:r>
        <w:rPr>
          <w:rFonts w:ascii="Century Gothic" w:hAnsi="Century Gothic"/>
          <w:bCs/>
          <w:i/>
          <w:u w:val="single"/>
        </w:rPr>
        <w:t xml:space="preserve">. </w:t>
      </w:r>
    </w:p>
    <w:p>
      <w:pPr>
        <w:pStyle w:val="style0"/>
        <w:tabs>
          <w:tab w:val="left" w:leader="none" w:pos="1701"/>
          <w:tab w:val="left" w:leader="none" w:pos="9214"/>
          <w:tab w:val="left" w:leader="none" w:pos="9639"/>
        </w:tabs>
        <w:suppressAutoHyphens/>
        <w:jc w:val="both"/>
        <w:rPr>
          <w:rFonts w:ascii="Century Gothic" w:hAnsi="Century Gothic"/>
          <w:bCs/>
          <w:i/>
          <w:u w:val="single"/>
        </w:rPr>
      </w:pPr>
    </w:p>
    <w:p>
      <w:pPr>
        <w:pStyle w:val="style0"/>
        <w:tabs>
          <w:tab w:val="left" w:leader="none" w:pos="1701"/>
          <w:tab w:val="left" w:leader="none" w:pos="9214"/>
          <w:tab w:val="left" w:leader="none" w:pos="9639"/>
        </w:tabs>
        <w:suppressAutoHyphens/>
        <w:jc w:val="both"/>
        <w:rPr>
          <w:rFonts w:ascii="Century Gothic" w:hAnsi="Century Gothic"/>
          <w:bCs/>
        </w:rPr>
      </w:pPr>
      <w:r>
        <w:rPr>
          <w:rFonts w:ascii="Century Gothic" w:hAnsi="Century Gothic"/>
          <w:b/>
          <w:bCs/>
        </w:rPr>
        <w:t xml:space="preserve">L’objectif </w:t>
      </w:r>
      <w:r>
        <w:rPr>
          <w:rFonts w:ascii="Century Gothic" w:hAnsi="Century Gothic"/>
          <w:bCs/>
        </w:rPr>
        <w:t xml:space="preserve">de cette activité est de doter la SCOOP </w:t>
      </w:r>
      <w:r>
        <w:rPr>
          <w:rFonts w:ascii="Century Gothic" w:hAnsi="Century Gothic"/>
        </w:rPr>
        <w:t>KOUDJIGUI-TINA</w:t>
      </w:r>
      <w:r>
        <w:rPr>
          <w:rFonts w:ascii="Century Gothic" w:hAnsi="Century Gothic"/>
          <w:bCs/>
        </w:rPr>
        <w:t xml:space="preserve"> des PFNL d’un</w:t>
      </w:r>
      <w:r>
        <w:rPr>
          <w:rFonts w:ascii="Century Gothic" w:hAnsi="Century Gothic"/>
        </w:rPr>
        <w:t xml:space="preserve"> centre de traitement, conditionnement et transformation de produits forestiers non ligneux biologiques (amandes, beurre, feuilles de baobab, graines de néré, etc.). Elle vise d’une part à accroître la qualité et les quantités des produits, </w:t>
      </w:r>
      <w:r>
        <w:rPr>
          <w:rFonts w:ascii="Century Gothic" w:hAnsi="Century Gothic"/>
          <w:bCs/>
        </w:rPr>
        <w:t xml:space="preserve">à réduire la pénibilité des tâches des femmes dans la transformation et d’autre part à obtenir des prix d’achat rémunérateur afin de lutter contre la pauvreté. L’amélioration des revenus des femmes permettra à ces dernières de ne pas avoir recours à la coupe du bois dans les espaces de conservation pour subvenir à leurs besoins </w:t>
      </w:r>
      <w:r>
        <w:rPr>
          <w:rFonts w:ascii="Century Gothic" w:hAnsi="Century Gothic"/>
          <w:b/>
          <w:bCs/>
        </w:rPr>
        <w:t>La méthode</w:t>
      </w:r>
      <w:r>
        <w:rPr>
          <w:rFonts w:ascii="Century Gothic" w:hAnsi="Century Gothic"/>
          <w:bCs/>
        </w:rPr>
        <w:t xml:space="preserve"> consistera à la négociation d’un espace au profit de la coopération suivi de l’obtention de l’attestation de possession foncière, la mise en place des infrastructures (bâtiment de stockage de 25m², hangar de décorticage de 10m² et terrasse de séchage 20m², latrines 2m²) soit un total de 57 m² de surface) et équipements de transformation</w:t>
      </w:r>
      <w:r>
        <w:rPr>
          <w:rFonts w:ascii="Century Gothic" w:hAnsi="Century Gothic"/>
        </w:rPr>
        <w:t xml:space="preserve">. Un comité de gestion sera mis en place par les bénéficiaires dont les membres seront formés en gestion des unités (comptabilité simplifiée, gestion de l’unité, entretien courant de l'équipement) sera organisée à leur profit. Afin de permettre au comité de gestion de démarrer ses activités, un fonds de roulement sera mis en place. </w:t>
      </w:r>
      <w:r>
        <w:rPr>
          <w:rFonts w:ascii="Century Gothic" w:hAnsi="Century Gothic"/>
          <w:b/>
        </w:rPr>
        <w:t>Le résultat attendu</w:t>
      </w:r>
      <w:r>
        <w:rPr>
          <w:rFonts w:ascii="Century Gothic" w:hAnsi="Century Gothic"/>
        </w:rPr>
        <w:t xml:space="preserve"> de l’activité est qu’une unité de transformation est installée, fonctionne et des clients existent au profit de 300 femmes. </w:t>
      </w:r>
      <w:r>
        <w:rPr>
          <w:rFonts w:ascii="Century Gothic" w:hAnsi="Century Gothic"/>
          <w:b/>
        </w:rPr>
        <w:t>Les moyens physiques</w:t>
      </w:r>
      <w:r>
        <w:rPr>
          <w:rFonts w:ascii="Century Gothic" w:hAnsi="Century Gothic"/>
        </w:rPr>
        <w:t xml:space="preserve"> se résumeront aux infrastructures et équipements.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seront constitués de l’expertise du service de l’agriculture pour le suivi conseil, des formateurs/trices externes pour les thématiques spécifiques. </w:t>
      </w:r>
      <w:r>
        <w:rPr>
          <w:rFonts w:ascii="Century Gothic" w:hAnsi="Century Gothic"/>
          <w:b/>
        </w:rPr>
        <w:t>Les moyens financiers</w:t>
      </w:r>
      <w:r>
        <w:rPr>
          <w:rFonts w:ascii="Century Gothic" w:hAnsi="Century Gothic"/>
        </w:rPr>
        <w:t xml:space="preserve"> seront constitués de frais de construction, d’acquisition de matériels et le suivi technique à la charge du PDIC/REDD+ de Tiébélé. L’organisation et la gestion de l’activité sera faite par le maire qui assure le rôle de coordination de l’activité en collaboration avec les responsables de la </w:t>
      </w:r>
      <w:r>
        <w:rPr>
          <w:rFonts w:ascii="Century Gothic" w:hAnsi="Century Gothic"/>
          <w:bCs/>
        </w:rPr>
        <w:t xml:space="preserve">SCOOP </w:t>
      </w:r>
      <w:r>
        <w:rPr>
          <w:rFonts w:ascii="Century Gothic" w:hAnsi="Century Gothic"/>
        </w:rPr>
        <w:t xml:space="preserve">KOUDJIGUI-TINA et le service de l’agriculture.  </w:t>
      </w:r>
    </w:p>
    <w:p>
      <w:pPr>
        <w:pStyle w:val="style0"/>
        <w:tabs>
          <w:tab w:val="left" w:leader="none" w:pos="1701"/>
          <w:tab w:val="left" w:leader="none" w:pos="9214"/>
          <w:tab w:val="left" w:leader="none" w:pos="9639"/>
        </w:tabs>
        <w:suppressAutoHyphens/>
        <w:jc w:val="both"/>
        <w:rPr>
          <w:rFonts w:ascii="Century Gothic" w:hAnsi="Century Gothic"/>
          <w:b/>
        </w:rPr>
      </w:pPr>
    </w:p>
    <w:p>
      <w:pPr>
        <w:pStyle w:val="style0"/>
        <w:tabs>
          <w:tab w:val="left" w:leader="none" w:pos="9214"/>
          <w:tab w:val="left" w:leader="none" w:pos="9639"/>
        </w:tabs>
        <w:jc w:val="both"/>
        <w:rPr>
          <w:rFonts w:ascii="Century Gothic" w:hAnsi="Century Gothic"/>
          <w:b/>
          <w:bCs/>
        </w:rPr>
      </w:pPr>
      <w:r>
        <w:rPr>
          <w:rFonts w:ascii="Century Gothic" w:hAnsi="Century Gothic"/>
          <w:b/>
          <w:i/>
        </w:rPr>
        <w:t>4.</w:t>
      </w:r>
      <w:r>
        <w:rPr>
          <w:rFonts w:ascii="Century Gothic" w:hAnsi="Century Gothic"/>
          <w:b/>
          <w:i/>
        </w:rPr>
        <w:t>2</w:t>
      </w:r>
      <w:r>
        <w:rPr>
          <w:rFonts w:ascii="Century Gothic" w:hAnsi="Century Gothic"/>
          <w:b/>
          <w:i/>
        </w:rPr>
        <w:t>.2.3</w:t>
      </w:r>
      <w:r>
        <w:rPr>
          <w:rFonts w:ascii="Century Gothic" w:hAnsi="Century Gothic"/>
          <w:b/>
          <w:bCs/>
        </w:rPr>
        <w:t xml:space="preserve">. Activités de renforcement des capacités d’adaptation aux activités et responsabilités </w:t>
      </w:r>
      <w:r>
        <w:rPr>
          <w:rFonts w:ascii="Century Gothic" w:hAnsi="Century Gothic"/>
          <w:b/>
          <w:i/>
        </w:rPr>
        <w:t xml:space="preserve">dans l’espace de conservation de </w:t>
      </w:r>
      <w:r>
        <w:rPr>
          <w:rFonts w:ascii="Century Gothic" w:hAnsi="Century Gothic"/>
          <w:b/>
          <w:i/>
        </w:rPr>
        <w:t>Tangassogo</w:t>
      </w:r>
    </w:p>
    <w:p>
      <w:pPr>
        <w:pStyle w:val="style0"/>
        <w:tabs>
          <w:tab w:val="left" w:leader="none" w:pos="9214"/>
          <w:tab w:val="left" w:leader="none" w:pos="9639"/>
        </w:tabs>
        <w:jc w:val="both"/>
        <w:rPr>
          <w:rFonts w:ascii="Century Gothic" w:hAnsi="Century Gothic"/>
        </w:rPr>
      </w:pPr>
    </w:p>
    <w:p>
      <w:pPr>
        <w:pStyle w:val="style0"/>
        <w:tabs>
          <w:tab w:val="left" w:leader="none" w:pos="1701"/>
          <w:tab w:val="left" w:leader="none" w:pos="9214"/>
          <w:tab w:val="left" w:leader="none" w:pos="9639"/>
        </w:tabs>
        <w:suppressAutoHyphens/>
        <w:jc w:val="both"/>
        <w:rPr>
          <w:rFonts w:ascii="Century Gothic" w:hAnsi="Century Gothic"/>
          <w:i/>
        </w:rPr>
      </w:pPr>
      <w:r>
        <w:rPr>
          <w:rFonts w:ascii="Century Gothic" w:hAnsi="Century Gothic"/>
          <w:bCs/>
          <w:i/>
          <w:u w:val="single"/>
        </w:rPr>
        <w:t xml:space="preserve">Activité </w:t>
      </w:r>
      <w:r>
        <w:rPr>
          <w:rFonts w:ascii="Century Gothic" w:hAnsi="Century Gothic"/>
          <w:i/>
          <w:u w:val="single"/>
        </w:rPr>
        <w:t>4.</w:t>
      </w:r>
      <w:r>
        <w:rPr>
          <w:rFonts w:ascii="Century Gothic" w:hAnsi="Century Gothic"/>
          <w:i/>
          <w:u w:val="single"/>
        </w:rPr>
        <w:t>2</w:t>
      </w:r>
      <w:r>
        <w:rPr>
          <w:rFonts w:ascii="Century Gothic" w:hAnsi="Century Gothic"/>
          <w:i/>
          <w:u w:val="single"/>
        </w:rPr>
        <w:t>.2.3.1</w:t>
      </w:r>
      <w:r>
        <w:rPr>
          <w:rFonts w:ascii="Century Gothic" w:hAnsi="Century Gothic"/>
          <w:bCs/>
          <w:u w:val="single"/>
        </w:rPr>
        <w:t xml:space="preserve">. </w:t>
      </w:r>
      <w:r>
        <w:rPr>
          <w:rFonts w:ascii="Century Gothic" w:hAnsi="Century Gothic"/>
          <w:i/>
          <w:u w:val="single"/>
        </w:rPr>
        <w:t>Former 200 producteurs en technique de plantation et entretien des espèces végétales</w:t>
      </w:r>
      <w:r>
        <w:rPr>
          <w:rFonts w:ascii="Century Gothic" w:hAnsi="Century Gothic"/>
          <w:bCs/>
          <w:i/>
          <w:u w:val="single"/>
        </w:rPr>
        <w:t xml:space="preserve"> dans l’espace de conservation </w:t>
      </w:r>
      <w:r>
        <w:rPr>
          <w:rFonts w:ascii="Century Gothic" w:hAnsi="Century Gothic"/>
          <w:i/>
          <w:u w:val="single"/>
        </w:rPr>
        <w:t xml:space="preserve">de Tangassogo </w:t>
      </w:r>
      <w:r>
        <w:rPr>
          <w:rFonts w:ascii="Century Gothic" w:hAnsi="Century Gothic"/>
          <w:bCs/>
          <w:i/>
          <w:u w:val="single"/>
        </w:rPr>
        <w:t xml:space="preserve">(villages </w:t>
      </w:r>
      <w:r>
        <w:rPr>
          <w:rFonts w:ascii="Century Gothic" w:hAnsi="Century Gothic"/>
          <w:u w:val="single"/>
        </w:rPr>
        <w:t>Ouédiabié-Tangassogo et Ourobié-Tangassogo</w:t>
      </w:r>
      <w:r>
        <w:rPr>
          <w:rFonts w:ascii="Century Gothic" w:hAnsi="Century Gothic"/>
          <w:bCs/>
          <w:i/>
          <w:u w:val="single"/>
        </w:rPr>
        <w:t>)</w:t>
      </w:r>
    </w:p>
    <w:p>
      <w:pPr>
        <w:pStyle w:val="style179"/>
        <w:tabs>
          <w:tab w:val="left" w:leader="none" w:pos="9214"/>
          <w:tab w:val="left" w:leader="none" w:pos="9639"/>
        </w:tabs>
        <w:ind w:left="0"/>
        <w:jc w:val="both"/>
        <w:rPr>
          <w:rFonts w:ascii="Century Gothic" w:hAnsi="Century Gothic"/>
          <w:u w:val="single"/>
        </w:rPr>
      </w:pPr>
    </w:p>
    <w:p>
      <w:pPr>
        <w:pStyle w:val="style0"/>
        <w:tabs>
          <w:tab w:val="left" w:leader="none" w:pos="9214"/>
          <w:tab w:val="left" w:leader="none" w:pos="9639"/>
        </w:tabs>
        <w:jc w:val="both"/>
        <w:rPr>
          <w:rFonts w:ascii="Century Gothic" w:cs="Arial" w:hAnsi="Century Gothic"/>
        </w:rPr>
      </w:pPr>
      <w:r>
        <w:rPr>
          <w:rFonts w:ascii="Century Gothic" w:hAnsi="Century Gothic"/>
          <w:b/>
        </w:rPr>
        <w:t xml:space="preserve">L’objectif </w:t>
      </w:r>
      <w:r>
        <w:rPr>
          <w:rFonts w:ascii="Century Gothic" w:hAnsi="Century Gothic"/>
        </w:rPr>
        <w:t xml:space="preserve">de cette activité est de contribuer au renforcement des compétences techniques en matière de plantation et d’entretien de plants.  Elle vise d’une part à promouvoir les bonnes pratiques de gestion durable des ressources forestières et d’autre part à consolider le niveau d’engagement des communautés sur </w:t>
      </w:r>
      <w:r>
        <w:rPr>
          <w:rFonts w:ascii="Century Gothic" w:hAnsi="Century Gothic"/>
        </w:rPr>
        <w:t xml:space="preserve">l’importance de la conservation des ressources naturelles. </w:t>
      </w:r>
      <w:r>
        <w:rPr>
          <w:rFonts w:ascii="Century Gothic" w:hAnsi="Century Gothic"/>
          <w:b/>
        </w:rPr>
        <w:t>La méthode </w:t>
      </w:r>
      <w:r>
        <w:rPr>
          <w:rFonts w:ascii="Century Gothic" w:hAnsi="Century Gothic"/>
        </w:rPr>
        <w:t>va reposer sur</w:t>
      </w:r>
      <w:r>
        <w:rPr>
          <w:rFonts w:ascii="Century Gothic" w:hAnsi="Century Gothic"/>
          <w:b/>
        </w:rPr>
        <w:t xml:space="preserve"> </w:t>
      </w:r>
      <w:r>
        <w:rPr>
          <w:rFonts w:ascii="Century Gothic" w:hAnsi="Century Gothic"/>
        </w:rPr>
        <w:t xml:space="preserve">la formation théorique suivie de la pratique. L’identification des participants se fera en concertation avec les responsables villageois sur la base du volontariat et qui auront la charge de répliquer la formation à la communauté. </w:t>
      </w:r>
      <w:r>
        <w:rPr>
          <w:rFonts w:ascii="Century Gothic" w:hAnsi="Century Gothic"/>
          <w:b/>
        </w:rPr>
        <w:t xml:space="preserve">Le résultat attendu </w:t>
      </w:r>
      <w:r>
        <w:rPr>
          <w:rFonts w:ascii="Century Gothic" w:hAnsi="Century Gothic"/>
        </w:rPr>
        <w:t xml:space="preserve">est que deux-cent (200) personnes ont renforcé leurs compétences dans la plantation et l’entretien des espèces végétales. </w:t>
      </w:r>
      <w:r>
        <w:rPr>
          <w:rFonts w:ascii="Century Gothic" w:hAnsi="Century Gothic"/>
          <w:b/>
        </w:rPr>
        <w:t>Les moyens humains</w:t>
      </w:r>
      <w:r>
        <w:rPr>
          <w:rFonts w:ascii="Century Gothic" w:hAnsi="Century Gothic"/>
        </w:rPr>
        <w:t xml:space="preserve"> sont constitués de l’expertise technique service de l’environnement. </w:t>
      </w:r>
      <w:r>
        <w:rPr>
          <w:rFonts w:ascii="Century Gothic" w:hAnsi="Century Gothic"/>
          <w:b/>
        </w:rPr>
        <w:t>Les moyens financiers</w:t>
      </w:r>
      <w:r>
        <w:rPr>
          <w:rFonts w:ascii="Century Gothic" w:hAnsi="Century Gothic"/>
        </w:rPr>
        <w:t xml:space="preserve"> seront constitués de frais de prise en charge du formateur et la restauration des participants. Ces moyens financiers seront assurés par le budget du PDIC/REDD+ de </w:t>
      </w:r>
      <w:r>
        <w:rPr>
          <w:rFonts w:ascii="Century Gothic" w:hAnsi="Century Gothic"/>
        </w:rPr>
        <w:t>Tiébélé</w:t>
      </w:r>
      <w:r>
        <w:rPr>
          <w:rFonts w:ascii="Century Gothic" w:hAnsi="Century Gothic"/>
        </w:rPr>
        <w:t xml:space="preserve">. </w:t>
      </w:r>
      <w:r>
        <w:rPr>
          <w:rFonts w:ascii="Century Gothic" w:cs="Arial" w:hAnsi="Century Gothic"/>
        </w:rPr>
        <w:t xml:space="preserve">L’organisation et la gestion de l’activité sera faite par le maire qui assure le rôle de coordination en collaboration avec </w:t>
      </w:r>
      <w:r>
        <w:rPr>
          <w:rFonts w:ascii="Century Gothic" w:cs="Arial" w:hAnsi="Century Gothic"/>
        </w:rPr>
        <w:t xml:space="preserve">un </w:t>
      </w:r>
      <w:r>
        <w:rPr>
          <w:rFonts w:ascii="Century Gothic" w:cs="Arial" w:hAnsi="Century Gothic"/>
        </w:rPr>
        <w:t>agent l’environnement et les CVD des villages.</w:t>
      </w:r>
    </w:p>
    <w:p>
      <w:pPr>
        <w:pStyle w:val="style0"/>
        <w:tabs>
          <w:tab w:val="left" w:leader="none" w:pos="9214"/>
          <w:tab w:val="left" w:leader="none" w:pos="9639"/>
        </w:tabs>
        <w:jc w:val="both"/>
        <w:rPr>
          <w:rFonts w:ascii="Century Gothic" w:hAnsi="Century Gothic"/>
        </w:rPr>
      </w:pPr>
    </w:p>
    <w:p>
      <w:pPr>
        <w:pStyle w:val="style0"/>
        <w:tabs>
          <w:tab w:val="left" w:leader="none" w:pos="1701"/>
          <w:tab w:val="left" w:leader="none" w:pos="9214"/>
          <w:tab w:val="left" w:leader="none" w:pos="9639"/>
        </w:tabs>
        <w:suppressAutoHyphens/>
        <w:jc w:val="both"/>
        <w:rPr>
          <w:rFonts w:ascii="Century Gothic" w:hAnsi="Century Gothic"/>
          <w:i/>
        </w:rPr>
      </w:pPr>
      <w:r>
        <w:rPr>
          <w:rFonts w:ascii="Century Gothic" w:hAnsi="Century Gothic"/>
          <w:bCs/>
          <w:i/>
          <w:u w:val="single"/>
        </w:rPr>
        <w:t xml:space="preserve">Activité </w:t>
      </w:r>
      <w:r>
        <w:rPr>
          <w:rFonts w:ascii="Century Gothic" w:hAnsi="Century Gothic"/>
          <w:i/>
          <w:u w:val="single"/>
        </w:rPr>
        <w:t>4.</w:t>
      </w:r>
      <w:r>
        <w:rPr>
          <w:rFonts w:ascii="Century Gothic" w:hAnsi="Century Gothic"/>
          <w:i/>
          <w:u w:val="single"/>
        </w:rPr>
        <w:t>2</w:t>
      </w:r>
      <w:r>
        <w:rPr>
          <w:rFonts w:ascii="Century Gothic" w:hAnsi="Century Gothic"/>
          <w:i/>
          <w:u w:val="single"/>
        </w:rPr>
        <w:t>.2.3.2</w:t>
      </w:r>
      <w:r>
        <w:rPr>
          <w:rFonts w:ascii="Century Gothic" w:hAnsi="Century Gothic"/>
          <w:bCs/>
          <w:i/>
          <w:u w:val="single"/>
        </w:rPr>
        <w:t xml:space="preserve">. </w:t>
      </w:r>
      <w:r>
        <w:rPr>
          <w:rFonts w:ascii="Century Gothic" w:hAnsi="Century Gothic"/>
          <w:i/>
          <w:u w:val="single"/>
        </w:rPr>
        <w:t xml:space="preserve">Former 100 </w:t>
      </w:r>
      <w:r>
        <w:rPr>
          <w:rFonts w:ascii="Century Gothic" w:hAnsi="Century Gothic"/>
          <w:bCs/>
          <w:i/>
          <w:u w:val="single"/>
        </w:rPr>
        <w:t xml:space="preserve">producteurs à la production et à l’utilisation du compost dans l’espace de conservation </w:t>
      </w:r>
      <w:r>
        <w:rPr>
          <w:rFonts w:ascii="Century Gothic" w:hAnsi="Century Gothic"/>
          <w:i/>
          <w:u w:val="single"/>
        </w:rPr>
        <w:t xml:space="preserve">de Tangassogo </w:t>
      </w:r>
      <w:r>
        <w:rPr>
          <w:rFonts w:ascii="Century Gothic" w:hAnsi="Century Gothic"/>
          <w:bCs/>
          <w:i/>
          <w:u w:val="single"/>
        </w:rPr>
        <w:t xml:space="preserve">(villages </w:t>
      </w:r>
      <w:r>
        <w:rPr>
          <w:rFonts w:ascii="Century Gothic" w:hAnsi="Century Gothic"/>
          <w:u w:val="single"/>
        </w:rPr>
        <w:t>Ouédiabié-Tangassogo et Ourobié-Tangassogo</w:t>
      </w:r>
      <w:r>
        <w:rPr>
          <w:rFonts w:ascii="Century Gothic" w:hAnsi="Century Gothic"/>
          <w:bCs/>
          <w:i/>
          <w:u w:val="single"/>
        </w:rPr>
        <w:t>)</w:t>
      </w:r>
    </w:p>
    <w:p>
      <w:pPr>
        <w:pStyle w:val="style0"/>
        <w:tabs>
          <w:tab w:val="left" w:leader="none" w:pos="1701"/>
          <w:tab w:val="left" w:leader="none" w:pos="9214"/>
          <w:tab w:val="left" w:leader="none" w:pos="9639"/>
        </w:tabs>
        <w:suppressAutoHyphens/>
        <w:jc w:val="both"/>
        <w:rPr>
          <w:rFonts w:ascii="Century Gothic" w:hAnsi="Century Gothic"/>
          <w:bCs/>
        </w:rPr>
      </w:pPr>
    </w:p>
    <w:p>
      <w:pPr>
        <w:pStyle w:val="style0"/>
        <w:tabs>
          <w:tab w:val="left" w:leader="none" w:pos="1701"/>
          <w:tab w:val="left" w:leader="none" w:pos="9214"/>
          <w:tab w:val="left" w:leader="none" w:pos="9639"/>
        </w:tabs>
        <w:suppressAutoHyphens/>
        <w:jc w:val="both"/>
        <w:rPr>
          <w:rFonts w:ascii="Century Gothic" w:hAnsi="Century Gothic"/>
          <w:bCs/>
        </w:rPr>
      </w:pPr>
      <w:r>
        <w:rPr>
          <w:rFonts w:ascii="Century Gothic" w:hAnsi="Century Gothic"/>
          <w:b/>
        </w:rPr>
        <w:t xml:space="preserve">L’objectif </w:t>
      </w:r>
      <w:r>
        <w:rPr>
          <w:rFonts w:ascii="Century Gothic" w:hAnsi="Century Gothic"/>
        </w:rPr>
        <w:t xml:space="preserve">de cette activité est de doter les producteurs de compétences leur permettant d’une part de réaliser des fosses fumières et d’autre part de produire du compost et de l’utiliser. </w:t>
      </w:r>
      <w:r>
        <w:rPr>
          <w:rFonts w:ascii="Century Gothic" w:hAnsi="Century Gothic"/>
          <w:b/>
        </w:rPr>
        <w:t>La méthode </w:t>
      </w:r>
      <w:r>
        <w:rPr>
          <w:rFonts w:ascii="Century Gothic" w:hAnsi="Century Gothic"/>
        </w:rPr>
        <w:t>va reposer sur</w:t>
      </w:r>
      <w:r>
        <w:rPr>
          <w:rFonts w:ascii="Century Gothic" w:hAnsi="Century Gothic"/>
          <w:b/>
        </w:rPr>
        <w:t xml:space="preserve"> </w:t>
      </w:r>
      <w:r>
        <w:rPr>
          <w:rFonts w:ascii="Century Gothic" w:hAnsi="Century Gothic"/>
        </w:rPr>
        <w:t>la formation théorique suivie de la pratique. L’identification des participants se fera en concertation avec les responsables villageois sur la base du volontariat et qui auront la charge de répliquer la formation à la communauté.</w:t>
      </w:r>
      <w:r>
        <w:rPr>
          <w:rFonts w:ascii="Century Gothic" w:hAnsi="Century Gothic"/>
        </w:rPr>
        <w:t xml:space="preserve"> </w:t>
      </w:r>
      <w:r>
        <w:rPr>
          <w:rFonts w:ascii="Century Gothic" w:hAnsi="Century Gothic"/>
          <w:b/>
        </w:rPr>
        <w:t>Le résultat attendu</w:t>
      </w:r>
      <w:r>
        <w:rPr>
          <w:rFonts w:ascii="Century Gothic" w:hAnsi="Century Gothic"/>
        </w:rPr>
        <w:t xml:space="preserve"> est qu’à la fin de la formation cent (100) producteurs renforcent leurs capacités techniques dans la production du compost et de son utilisation.</w:t>
      </w:r>
      <w:r>
        <w:rPr>
          <w:rFonts w:ascii="Century Gothic" w:hAnsi="Century Gothic"/>
          <w:b/>
        </w:rPr>
        <w:t xml:space="preserve"> Les moyens physiques</w:t>
      </w:r>
      <w:r>
        <w:rPr>
          <w:rFonts w:ascii="Century Gothic" w:hAnsi="Century Gothic"/>
        </w:rPr>
        <w:t xml:space="preserve"> se résumeront en matériel et fournitures de formation et les </w:t>
      </w:r>
      <w:r>
        <w:rPr>
          <w:rFonts w:ascii="Century Gothic" w:hAnsi="Century Gothic"/>
          <w:b/>
        </w:rPr>
        <w:t>moyens humains</w:t>
      </w:r>
      <w:r>
        <w:rPr>
          <w:rFonts w:ascii="Century Gothic" w:hAnsi="Century Gothic"/>
        </w:rPr>
        <w:t xml:space="preserve"> sont constitués de l’expertise technique service de l’agriculture. </w:t>
      </w:r>
      <w:r>
        <w:rPr>
          <w:rFonts w:ascii="Century Gothic" w:hAnsi="Century Gothic"/>
          <w:b/>
        </w:rPr>
        <w:t>Les moyens financiers</w:t>
      </w:r>
      <w:r>
        <w:rPr>
          <w:rFonts w:ascii="Century Gothic" w:hAnsi="Century Gothic"/>
        </w:rPr>
        <w:t xml:space="preserve"> seront constitués de frais de formation et le suivi technique à la charge du PDIC/REDD+ de </w:t>
      </w:r>
      <w:r>
        <w:rPr>
          <w:rFonts w:ascii="Century Gothic" w:hAnsi="Century Gothic"/>
        </w:rPr>
        <w:t>Tiébélé</w:t>
      </w:r>
      <w:r>
        <w:rPr>
          <w:rFonts w:ascii="Century Gothic" w:hAnsi="Century Gothic"/>
        </w:rPr>
        <w:t xml:space="preserve">. L’organisation et la gestion de l’activité sera faite par le maire qui assure le rôle de coordination de l’activité en collaboration avec le service de l’agriculture.  </w:t>
      </w:r>
    </w:p>
    <w:p>
      <w:pPr>
        <w:pStyle w:val="style0"/>
        <w:tabs>
          <w:tab w:val="left" w:leader="none" w:pos="9214"/>
          <w:tab w:val="left" w:leader="none" w:pos="9639"/>
        </w:tabs>
        <w:jc w:val="both"/>
        <w:rPr>
          <w:rFonts w:ascii="Century Gothic" w:hAnsi="Century Gothic"/>
        </w:rPr>
      </w:pPr>
    </w:p>
    <w:p>
      <w:pPr>
        <w:pStyle w:val="style0"/>
        <w:tabs>
          <w:tab w:val="left" w:leader="none" w:pos="1701"/>
          <w:tab w:val="left" w:leader="none" w:pos="9214"/>
          <w:tab w:val="left" w:leader="none" w:pos="9639"/>
        </w:tabs>
        <w:suppressAutoHyphens/>
        <w:jc w:val="both"/>
        <w:rPr>
          <w:rFonts w:ascii="Century Gothic" w:hAnsi="Century Gothic"/>
          <w:i/>
        </w:rPr>
      </w:pPr>
      <w:r>
        <w:rPr>
          <w:rFonts w:ascii="Century Gothic" w:hAnsi="Century Gothic"/>
          <w:bCs/>
          <w:i/>
          <w:u w:val="single"/>
        </w:rPr>
        <w:t xml:space="preserve">Activité </w:t>
      </w:r>
      <w:r>
        <w:rPr>
          <w:rFonts w:ascii="Century Gothic" w:hAnsi="Century Gothic"/>
          <w:i/>
          <w:u w:val="single"/>
        </w:rPr>
        <w:t>4.</w:t>
      </w:r>
      <w:r>
        <w:rPr>
          <w:rFonts w:ascii="Century Gothic" w:hAnsi="Century Gothic"/>
          <w:i/>
          <w:u w:val="single"/>
        </w:rPr>
        <w:t>2</w:t>
      </w:r>
      <w:r>
        <w:rPr>
          <w:rFonts w:ascii="Century Gothic" w:hAnsi="Century Gothic"/>
          <w:i/>
          <w:u w:val="single"/>
        </w:rPr>
        <w:t>.2.3.3</w:t>
      </w:r>
      <w:r>
        <w:rPr>
          <w:rFonts w:ascii="Century Gothic" w:hAnsi="Century Gothic"/>
          <w:bCs/>
          <w:i/>
          <w:u w:val="single"/>
        </w:rPr>
        <w:t xml:space="preserve">. </w:t>
      </w:r>
      <w:r>
        <w:rPr>
          <w:rFonts w:ascii="Century Gothic" w:hAnsi="Century Gothic"/>
          <w:i/>
          <w:u w:val="single"/>
        </w:rPr>
        <w:t xml:space="preserve">Former 100 producteurs en technique de fauche et de conservation de fourrage naturel </w:t>
      </w:r>
      <w:r>
        <w:rPr>
          <w:rFonts w:ascii="Century Gothic" w:hAnsi="Century Gothic"/>
          <w:bCs/>
          <w:i/>
          <w:u w:val="single"/>
        </w:rPr>
        <w:t xml:space="preserve">dans l’espace de conservation </w:t>
      </w:r>
      <w:r>
        <w:rPr>
          <w:rFonts w:ascii="Century Gothic" w:hAnsi="Century Gothic"/>
          <w:i/>
          <w:u w:val="single"/>
        </w:rPr>
        <w:t xml:space="preserve">de Tangassogo </w:t>
      </w:r>
      <w:r>
        <w:rPr>
          <w:rFonts w:ascii="Century Gothic" w:hAnsi="Century Gothic"/>
          <w:bCs/>
          <w:i/>
          <w:u w:val="single"/>
        </w:rPr>
        <w:t xml:space="preserve">(villages </w:t>
      </w:r>
      <w:r>
        <w:rPr>
          <w:rFonts w:ascii="Century Gothic" w:hAnsi="Century Gothic"/>
          <w:u w:val="single"/>
        </w:rPr>
        <w:t>Ouédiabié-Tangassogo et Ourobié-Tangassogo</w:t>
      </w:r>
      <w:r>
        <w:rPr>
          <w:rFonts w:ascii="Century Gothic" w:hAnsi="Century Gothic"/>
          <w:bCs/>
          <w:i/>
          <w:u w:val="single"/>
        </w:rPr>
        <w:t>)</w:t>
      </w:r>
    </w:p>
    <w:p>
      <w:pPr>
        <w:pStyle w:val="style179"/>
        <w:tabs>
          <w:tab w:val="left" w:leader="none" w:pos="9214"/>
          <w:tab w:val="left" w:leader="none" w:pos="9639"/>
        </w:tabs>
        <w:ind w:left="0"/>
        <w:jc w:val="both"/>
        <w:rPr>
          <w:rFonts w:ascii="Century Gothic" w:hAnsi="Century Gothic"/>
          <w:i/>
          <w:u w:val="single"/>
        </w:rPr>
      </w:pPr>
    </w:p>
    <w:p>
      <w:pPr>
        <w:pStyle w:val="style179"/>
        <w:tabs>
          <w:tab w:val="left" w:leader="none" w:pos="9214"/>
          <w:tab w:val="left" w:leader="none" w:pos="9639"/>
        </w:tabs>
        <w:ind w:left="0"/>
        <w:jc w:val="both"/>
        <w:rPr>
          <w:rFonts w:ascii="Century Gothic" w:hAnsi="Century Gothic"/>
        </w:rPr>
      </w:pPr>
      <w:r>
        <w:rPr>
          <w:rFonts w:ascii="Century Gothic" w:hAnsi="Century Gothic"/>
          <w:b/>
        </w:rPr>
        <w:t xml:space="preserve">L’objectif </w:t>
      </w:r>
      <w:r>
        <w:rPr>
          <w:rFonts w:ascii="Century Gothic" w:hAnsi="Century Gothic"/>
        </w:rPr>
        <w:t xml:space="preserve">de cette activité est de contribuer au renforcement des capacités techniques de fauche et de conservation du fourrage naturel des producteurs. Afin de rendre disponible le fourrage naturel pour l’alimentation du bétail en saison sèche réduisant ainsi la pression de celui-ci sur les espaces de conservation, les éleveurs doivent acquérir de bonnes pratiques de récolte et de conservation du fourrage. </w:t>
      </w:r>
      <w:r>
        <w:rPr>
          <w:rFonts w:ascii="Century Gothic" w:hAnsi="Century Gothic"/>
          <w:b/>
        </w:rPr>
        <w:t>La méthode </w:t>
      </w:r>
      <w:r>
        <w:rPr>
          <w:rFonts w:ascii="Century Gothic" w:hAnsi="Century Gothic"/>
        </w:rPr>
        <w:t>va reposer sur</w:t>
      </w:r>
      <w:r>
        <w:rPr>
          <w:rFonts w:ascii="Century Gothic" w:hAnsi="Century Gothic"/>
          <w:b/>
        </w:rPr>
        <w:t xml:space="preserve"> </w:t>
      </w:r>
      <w:r>
        <w:rPr>
          <w:rFonts w:ascii="Century Gothic" w:hAnsi="Century Gothic"/>
        </w:rPr>
        <w:t xml:space="preserve">la formation théorique suivie de la pratique. L’identification des participants se fera en concertation avec les responsables villageois sur la base du volontariat et qui auront la charge de répliquer la formation à la communauté. </w:t>
      </w:r>
      <w:r>
        <w:rPr>
          <w:rFonts w:ascii="Century Gothic" w:hAnsi="Century Gothic"/>
          <w:b/>
        </w:rPr>
        <w:t xml:space="preserve">Le résultat attendu </w:t>
      </w:r>
      <w:r>
        <w:rPr>
          <w:rFonts w:ascii="Century Gothic" w:hAnsi="Century Gothic"/>
        </w:rPr>
        <w:t xml:space="preserve">est que cent (100) producteurs renforcent leurs compétences en matière de fauche et de conservation du fourrage naturel. </w:t>
      </w:r>
      <w:r>
        <w:rPr>
          <w:rFonts w:ascii="Century Gothic" w:hAnsi="Century Gothic"/>
          <w:b/>
        </w:rPr>
        <w:t>Les moyens physiques</w:t>
      </w:r>
      <w:r>
        <w:rPr>
          <w:rFonts w:ascii="Century Gothic" w:hAnsi="Century Gothic"/>
        </w:rPr>
        <w:t xml:space="preserve"> se résument en matériel et fournitures de formation et les </w:t>
      </w:r>
      <w:r>
        <w:rPr>
          <w:rFonts w:ascii="Century Gothic" w:hAnsi="Century Gothic"/>
          <w:b/>
        </w:rPr>
        <w:t>moyens humains</w:t>
      </w:r>
      <w:r>
        <w:rPr>
          <w:rFonts w:ascii="Century Gothic" w:hAnsi="Century Gothic"/>
        </w:rPr>
        <w:t xml:space="preserve"> sont constitués de l’expertise technique du formateur. </w:t>
      </w:r>
      <w:r>
        <w:rPr>
          <w:rFonts w:ascii="Century Gothic" w:hAnsi="Century Gothic"/>
          <w:b/>
        </w:rPr>
        <w:t>Les moyens financiers</w:t>
      </w:r>
      <w:r>
        <w:rPr>
          <w:rFonts w:ascii="Century Gothic" w:hAnsi="Century Gothic"/>
        </w:rPr>
        <w:t xml:space="preserve"> seront constitués de frais de prise</w:t>
      </w:r>
      <w:r>
        <w:rPr>
          <w:rFonts w:ascii="Century Gothic" w:hAnsi="Century Gothic"/>
        </w:rPr>
        <w:t xml:space="preserve"> en charge </w:t>
      </w:r>
      <w:r>
        <w:rPr>
          <w:rFonts w:ascii="Century Gothic" w:hAnsi="Century Gothic"/>
        </w:rPr>
        <w:t xml:space="preserve">du formateur et des participants. Ces ressources seront financées par le budget du PDIC/REDD+ de </w:t>
      </w:r>
      <w:r>
        <w:rPr>
          <w:rFonts w:ascii="Century Gothic" w:hAnsi="Century Gothic"/>
        </w:rPr>
        <w:t>Tiébélé</w:t>
      </w:r>
      <w:r>
        <w:rPr>
          <w:rFonts w:ascii="Century Gothic" w:hAnsi="Century Gothic"/>
        </w:rPr>
        <w:t xml:space="preserve">. L’organisation et la gestion de l’activité sera faite par le maire qui assure le rôle de coordination de l’activité.  </w:t>
      </w:r>
    </w:p>
    <w:p>
      <w:pPr>
        <w:pStyle w:val="style179"/>
        <w:tabs>
          <w:tab w:val="left" w:leader="none" w:pos="9214"/>
          <w:tab w:val="left" w:leader="none" w:pos="9639"/>
        </w:tabs>
        <w:ind w:left="0"/>
        <w:jc w:val="both"/>
        <w:rPr>
          <w:rFonts w:ascii="Century Gothic" w:hAnsi="Century Gothic"/>
          <w:bCs/>
          <w:i/>
          <w:u w:val="single"/>
        </w:rPr>
      </w:pPr>
    </w:p>
    <w:p>
      <w:pPr>
        <w:pStyle w:val="style0"/>
        <w:spacing w:lineRule="auto" w:line="276"/>
        <w:jc w:val="both"/>
        <w:rPr>
          <w:rFonts w:ascii="Century Gothic" w:hAnsi="Century Gothic"/>
          <w:bCs/>
        </w:rPr>
      </w:pPr>
      <w:r>
        <w:rPr>
          <w:rFonts w:ascii="Century Gothic" w:hAnsi="Century Gothic"/>
          <w:bCs/>
          <w:i/>
          <w:u w:val="single"/>
        </w:rPr>
        <w:t xml:space="preserve">Activité </w:t>
      </w:r>
      <w:r>
        <w:rPr>
          <w:rFonts w:ascii="Century Gothic" w:hAnsi="Century Gothic"/>
          <w:i/>
          <w:u w:val="single"/>
        </w:rPr>
        <w:t>4.</w:t>
      </w:r>
      <w:r>
        <w:rPr>
          <w:rFonts w:ascii="Century Gothic" w:hAnsi="Century Gothic"/>
          <w:i/>
          <w:u w:val="single"/>
        </w:rPr>
        <w:t>2</w:t>
      </w:r>
      <w:r>
        <w:rPr>
          <w:rFonts w:ascii="Century Gothic" w:hAnsi="Century Gothic"/>
          <w:i/>
          <w:u w:val="single"/>
        </w:rPr>
        <w:t>.2.3.4</w:t>
      </w:r>
      <w:r>
        <w:rPr>
          <w:rFonts w:ascii="Century Gothic" w:hAnsi="Century Gothic"/>
          <w:bCs/>
          <w:i/>
          <w:u w:val="single"/>
        </w:rPr>
        <w:t xml:space="preserve">. </w:t>
      </w:r>
      <w:r>
        <w:rPr>
          <w:rFonts w:ascii="Century Gothic" w:hAnsi="Century Gothic"/>
          <w:bCs/>
          <w:i/>
          <w:color w:val="000000"/>
          <w:u w:val="single"/>
        </w:rPr>
        <w:t xml:space="preserve">Former 40 producteurs en techniques apicoles modernes </w:t>
      </w:r>
      <w:r>
        <w:rPr>
          <w:rFonts w:ascii="Century Gothic" w:hAnsi="Century Gothic"/>
          <w:bCs/>
          <w:i/>
          <w:u w:val="single"/>
        </w:rPr>
        <w:t>dans l’espace de conservation de Tangassogo.</w:t>
      </w:r>
    </w:p>
    <w:p>
      <w:pPr>
        <w:pStyle w:val="style0"/>
        <w:spacing w:lineRule="auto" w:line="276"/>
        <w:jc w:val="both"/>
        <w:rPr>
          <w:rFonts w:ascii="Century Gothic" w:hAnsi="Century Gothic"/>
          <w:bCs/>
        </w:rPr>
      </w:pPr>
    </w:p>
    <w:p>
      <w:pPr>
        <w:pStyle w:val="style179"/>
        <w:tabs>
          <w:tab w:val="left" w:leader="none" w:pos="9214"/>
          <w:tab w:val="left" w:leader="none" w:pos="9639"/>
        </w:tabs>
        <w:ind w:left="0"/>
        <w:jc w:val="both"/>
        <w:rPr>
          <w:rFonts w:ascii="Century Gothic" w:hAnsi="Century Gothic"/>
        </w:rPr>
      </w:pPr>
      <w:r>
        <w:rPr>
          <w:rFonts w:ascii="Century Gothic" w:hAnsi="Century Gothic"/>
          <w:b/>
          <w:bCs/>
          <w:color w:val="000000"/>
        </w:rPr>
        <w:t xml:space="preserve">L’objectif </w:t>
      </w:r>
      <w:r>
        <w:rPr>
          <w:rFonts w:ascii="Century Gothic" w:hAnsi="Century Gothic"/>
          <w:bCs/>
          <w:color w:val="000000"/>
        </w:rPr>
        <w:t xml:space="preserve">est de former 40 personnes en techniques modernes de production apicoles. </w:t>
      </w:r>
      <w:r>
        <w:rPr>
          <w:rFonts w:ascii="Century Gothic" w:hAnsi="Century Gothic"/>
          <w:b/>
          <w:bCs/>
          <w:color w:val="000000"/>
        </w:rPr>
        <w:t>La méthode </w:t>
      </w:r>
      <w:r>
        <w:rPr>
          <w:rFonts w:ascii="Century Gothic" w:hAnsi="Century Gothic"/>
          <w:bCs/>
          <w:color w:val="000000"/>
        </w:rPr>
        <w:t>va reposer sur la sélection des bénéficiaires, l’organisation théorique et pratique de la formation qui durera cinq jours</w:t>
      </w:r>
      <w:r>
        <w:rPr>
          <w:rFonts w:ascii="Century Gothic" w:hAnsi="Century Gothic"/>
          <w:b/>
          <w:bCs/>
          <w:color w:val="000000"/>
        </w:rPr>
        <w:t xml:space="preserve">. </w:t>
      </w:r>
      <w:r>
        <w:rPr>
          <w:rFonts w:ascii="Century Gothic" w:hAnsi="Century Gothic"/>
          <w:bCs/>
          <w:color w:val="000000"/>
        </w:rPr>
        <w:t xml:space="preserve">Les apprenants constitués de 12 femmes et de 8 jeunes seront désignés de manière concertée avec le STD de l’élevage, les CVD des villages et le Responsable Environnement et Développement Local de la mairie de Tiébélé. </w:t>
      </w:r>
      <w:r>
        <w:rPr>
          <w:rFonts w:ascii="Century Gothic" w:hAnsi="Century Gothic"/>
          <w:b/>
          <w:bCs/>
          <w:color w:val="000000"/>
        </w:rPr>
        <w:t>Les résultats attendus</w:t>
      </w:r>
      <w:r>
        <w:rPr>
          <w:rFonts w:ascii="Century Gothic" w:hAnsi="Century Gothic"/>
          <w:bCs/>
          <w:color w:val="000000"/>
        </w:rPr>
        <w:t xml:space="preserve"> sont que 24 femmes et 16 jeunes sont formés en techniques apicoles modernes. </w:t>
      </w:r>
      <w:r>
        <w:rPr>
          <w:rFonts w:ascii="Century Gothic" w:hAnsi="Century Gothic"/>
          <w:b/>
        </w:rPr>
        <w:t>Les moyens physiques</w:t>
      </w:r>
      <w:r>
        <w:rPr>
          <w:rFonts w:ascii="Century Gothic" w:hAnsi="Century Gothic"/>
        </w:rPr>
        <w:t xml:space="preserve"> se résument en matériel et fournitures de formation et les </w:t>
      </w:r>
      <w:r>
        <w:rPr>
          <w:rFonts w:ascii="Century Gothic" w:hAnsi="Century Gothic"/>
          <w:b/>
        </w:rPr>
        <w:t>moyens humains</w:t>
      </w:r>
      <w:r>
        <w:rPr>
          <w:rFonts w:ascii="Century Gothic" w:hAnsi="Century Gothic"/>
        </w:rPr>
        <w:t xml:space="preserve"> sont constitués de l’expertise technique du formateur. </w:t>
      </w:r>
      <w:r>
        <w:rPr>
          <w:rFonts w:ascii="Century Gothic" w:hAnsi="Century Gothic"/>
          <w:b/>
        </w:rPr>
        <w:t>Les moyens financiers</w:t>
      </w:r>
      <w:r>
        <w:rPr>
          <w:rFonts w:ascii="Century Gothic" w:hAnsi="Century Gothic"/>
        </w:rPr>
        <w:t xml:space="preserve"> seront constitués de frais de prise </w:t>
      </w:r>
      <w:r>
        <w:rPr>
          <w:rFonts w:ascii="Century Gothic" w:hAnsi="Century Gothic"/>
        </w:rPr>
        <w:t xml:space="preserve">en charge </w:t>
      </w:r>
      <w:r>
        <w:rPr>
          <w:rFonts w:ascii="Century Gothic" w:hAnsi="Century Gothic"/>
        </w:rPr>
        <w:t>du formateur et des participants. Ces ressources seront financées par le budget du PDIC/REDD+ de Tiébélé. L’organisation et la gestion de l’activité sera faite par le maire qui assure le rôle de coordination de l’activité.</w:t>
      </w:r>
    </w:p>
    <w:p>
      <w:pPr>
        <w:pStyle w:val="style179"/>
        <w:tabs>
          <w:tab w:val="left" w:leader="none" w:pos="9214"/>
          <w:tab w:val="left" w:leader="none" w:pos="9639"/>
        </w:tabs>
        <w:ind w:left="0"/>
        <w:jc w:val="both"/>
        <w:rPr>
          <w:rFonts w:ascii="Century Gothic" w:hAnsi="Century Gothic"/>
        </w:rPr>
      </w:pPr>
      <w:r>
        <w:rPr>
          <w:rFonts w:ascii="Century Gothic" w:hAnsi="Century Gothic"/>
        </w:rPr>
        <w:t xml:space="preserve">  </w:t>
      </w:r>
    </w:p>
    <w:p>
      <w:pPr>
        <w:pStyle w:val="style0"/>
        <w:tabs>
          <w:tab w:val="left" w:leader="none" w:pos="9214"/>
          <w:tab w:val="left" w:leader="none" w:pos="9639"/>
        </w:tabs>
        <w:jc w:val="both"/>
        <w:rPr>
          <w:rFonts w:ascii="Century Gothic" w:hAnsi="Century Gothic"/>
          <w:bCs/>
        </w:rPr>
      </w:pPr>
      <w:r>
        <w:rPr>
          <w:rFonts w:ascii="Century Gothic" w:hAnsi="Century Gothic"/>
          <w:bCs/>
          <w:i/>
          <w:u w:val="single"/>
        </w:rPr>
        <w:t xml:space="preserve">Activité </w:t>
      </w:r>
      <w:r>
        <w:rPr>
          <w:rFonts w:ascii="Century Gothic" w:hAnsi="Century Gothic"/>
          <w:i/>
          <w:u w:val="single"/>
        </w:rPr>
        <w:t>4.1.2.3.</w:t>
      </w:r>
      <w:r>
        <w:rPr>
          <w:rFonts w:ascii="Century Gothic" w:hAnsi="Century Gothic"/>
          <w:i/>
          <w:u w:val="single"/>
        </w:rPr>
        <w:t>5</w:t>
      </w:r>
      <w:r>
        <w:rPr>
          <w:rFonts w:ascii="Century Gothic" w:hAnsi="Century Gothic"/>
          <w:bCs/>
          <w:i/>
          <w:u w:val="single"/>
        </w:rPr>
        <w:t xml:space="preserve">. </w:t>
      </w:r>
      <w:r>
        <w:rPr>
          <w:rFonts w:ascii="Century Gothic" w:hAnsi="Century Gothic"/>
          <w:i/>
          <w:u w:val="single"/>
        </w:rPr>
        <w:t>F</w:t>
      </w:r>
      <w:r>
        <w:rPr>
          <w:rFonts w:ascii="Century Gothic" w:hAnsi="Century Gothic"/>
          <w:bCs/>
          <w:i/>
          <w:u w:val="single"/>
        </w:rPr>
        <w:t xml:space="preserve">ormer </w:t>
      </w:r>
      <w:r>
        <w:rPr>
          <w:rFonts w:ascii="Century Gothic" w:hAnsi="Century Gothic"/>
          <w:bCs/>
          <w:i/>
          <w:u w:val="single"/>
        </w:rPr>
        <w:t>5</w:t>
      </w:r>
      <w:r>
        <w:rPr>
          <w:rFonts w:ascii="Century Gothic" w:hAnsi="Century Gothic"/>
          <w:bCs/>
          <w:i/>
          <w:u w:val="single"/>
        </w:rPr>
        <w:t>0 membres de l</w:t>
      </w:r>
      <w:r>
        <w:rPr>
          <w:rFonts w:ascii="Century Gothic" w:hAnsi="Century Gothic"/>
          <w:bCs/>
          <w:i/>
          <w:u w:val="single"/>
        </w:rPr>
        <w:t>’union des</w:t>
      </w:r>
      <w:r>
        <w:rPr>
          <w:rFonts w:ascii="Century Gothic" w:hAnsi="Century Gothic"/>
          <w:bCs/>
          <w:i/>
          <w:u w:val="single"/>
        </w:rPr>
        <w:t xml:space="preserve"> SCOOP </w:t>
      </w:r>
      <w:r>
        <w:rPr>
          <w:rFonts w:ascii="Century Gothic" w:hAnsi="Century Gothic"/>
          <w:i/>
          <w:u w:val="single"/>
        </w:rPr>
        <w:t>KOUDJIGUI-TINA</w:t>
      </w:r>
      <w:r>
        <w:rPr>
          <w:rFonts w:ascii="Century Gothic" w:hAnsi="Century Gothic"/>
          <w:bCs/>
          <w:i/>
          <w:u w:val="single"/>
        </w:rPr>
        <w:t xml:space="preserve"> </w:t>
      </w:r>
      <w:r>
        <w:rPr>
          <w:rFonts w:ascii="Century Gothic" w:hAnsi="Century Gothic"/>
          <w:bCs/>
          <w:i/>
          <w:u w:val="single"/>
        </w:rPr>
        <w:t xml:space="preserve">de Tiébélé </w:t>
      </w:r>
      <w:r>
        <w:rPr>
          <w:rFonts w:ascii="Century Gothic" w:hAnsi="Century Gothic"/>
          <w:bCs/>
          <w:i/>
          <w:u w:val="single"/>
        </w:rPr>
        <w:t>en techniques de production, de transformation et de commercialisation des PFNL dans l’espace de conservation de Tangassogo</w:t>
      </w:r>
      <w:r>
        <w:rPr>
          <w:rFonts w:ascii="Century Gothic" w:hAnsi="Century Gothic"/>
          <w:bCs/>
        </w:rPr>
        <w:t xml:space="preserve">. </w:t>
      </w:r>
    </w:p>
    <w:p>
      <w:pPr>
        <w:pStyle w:val="style0"/>
        <w:tabs>
          <w:tab w:val="left" w:leader="none" w:pos="9214"/>
          <w:tab w:val="left" w:leader="none" w:pos="9639"/>
        </w:tabs>
        <w:jc w:val="both"/>
        <w:rPr>
          <w:rFonts w:ascii="Century Gothic" w:hAnsi="Century Gothic"/>
          <w:bCs/>
        </w:rPr>
      </w:pPr>
    </w:p>
    <w:p>
      <w:pPr>
        <w:pStyle w:val="style0"/>
        <w:tabs>
          <w:tab w:val="left" w:leader="none" w:pos="9214"/>
          <w:tab w:val="left" w:leader="none" w:pos="9639"/>
        </w:tabs>
        <w:jc w:val="both"/>
        <w:rPr>
          <w:rFonts w:ascii="Century Gothic" w:hAnsi="Century Gothic"/>
          <w:bCs/>
        </w:rPr>
      </w:pPr>
      <w:r>
        <w:rPr>
          <w:rFonts w:ascii="Century Gothic" w:hAnsi="Century Gothic"/>
          <w:b/>
        </w:rPr>
        <w:t>L’objectif</w:t>
      </w:r>
      <w:r>
        <w:rPr>
          <w:rFonts w:ascii="Century Gothic" w:hAnsi="Century Gothic"/>
        </w:rPr>
        <w:t xml:space="preserve"> de cette activité est de contribuer au renforcement des capacités techniques de production/cueillette et de transformation des PFNL des membres </w:t>
      </w:r>
      <w:r>
        <w:rPr>
          <w:rFonts w:ascii="Century Gothic" w:hAnsi="Century Gothic"/>
          <w:bCs/>
        </w:rPr>
        <w:t>de l</w:t>
      </w:r>
      <w:r>
        <w:rPr>
          <w:rFonts w:ascii="Century Gothic" w:hAnsi="Century Gothic"/>
          <w:bCs/>
        </w:rPr>
        <w:t>’union des</w:t>
      </w:r>
      <w:r>
        <w:rPr>
          <w:rFonts w:ascii="Century Gothic" w:hAnsi="Century Gothic"/>
          <w:bCs/>
        </w:rPr>
        <w:t xml:space="preserve"> SCOOP </w:t>
      </w:r>
      <w:r>
        <w:rPr>
          <w:rFonts w:ascii="Century Gothic" w:hAnsi="Century Gothic"/>
        </w:rPr>
        <w:t xml:space="preserve">KOUDJIGUI-TINA. Elle vise d’une part la gestion rationnelle des ressources forestières en adoptant de meilleures pratiques de cueillette et d’autre part l’acquisition de techniques modernes de transformation du beurre de karité et du </w:t>
      </w:r>
      <w:r>
        <w:rPr>
          <w:rFonts w:ascii="Century Gothic" w:hAnsi="Century Gothic"/>
          <w:i/>
        </w:rPr>
        <w:t>soumbala</w:t>
      </w:r>
      <w:r>
        <w:rPr>
          <w:rFonts w:ascii="Century Gothic" w:hAnsi="Century Gothic"/>
        </w:rPr>
        <w:t xml:space="preserve">. </w:t>
      </w:r>
      <w:r>
        <w:rPr>
          <w:rFonts w:ascii="Century Gothic" w:hAnsi="Century Gothic"/>
          <w:b/>
          <w:bCs/>
        </w:rPr>
        <w:t>Méthode</w:t>
      </w:r>
      <w:r>
        <w:rPr>
          <w:rFonts w:ascii="Century Gothic" w:hAnsi="Century Gothic"/>
          <w:bCs/>
        </w:rPr>
        <w:t> : L’activité sera décomposée en 2 sous activités.</w:t>
      </w:r>
    </w:p>
    <w:p>
      <w:pPr>
        <w:pStyle w:val="style179"/>
        <w:numPr>
          <w:ilvl w:val="0"/>
          <w:numId w:val="6"/>
        </w:numPr>
        <w:tabs>
          <w:tab w:val="left" w:leader="none" w:pos="9214"/>
          <w:tab w:val="left" w:leader="none" w:pos="9639"/>
        </w:tabs>
        <w:jc w:val="both"/>
        <w:rPr>
          <w:rFonts w:ascii="Century Gothic" w:hAnsi="Century Gothic"/>
        </w:rPr>
      </w:pPr>
      <w:r>
        <w:rPr>
          <w:rFonts w:ascii="Century Gothic" w:hAnsi="Century Gothic"/>
        </w:rPr>
        <w:t>Formation/sensibilisation en technique de cueillette et de conservation des PFNL,</w:t>
      </w:r>
    </w:p>
    <w:p>
      <w:pPr>
        <w:pStyle w:val="style179"/>
        <w:numPr>
          <w:ilvl w:val="0"/>
          <w:numId w:val="6"/>
        </w:numPr>
        <w:tabs>
          <w:tab w:val="left" w:leader="none" w:pos="9214"/>
          <w:tab w:val="left" w:leader="none" w:pos="9639"/>
        </w:tabs>
        <w:jc w:val="both"/>
        <w:rPr>
          <w:rFonts w:ascii="Century Gothic" w:hAnsi="Century Gothic"/>
        </w:rPr>
      </w:pPr>
      <w:r>
        <w:rPr>
          <w:rFonts w:ascii="Century Gothic" w:hAnsi="Century Gothic"/>
        </w:rPr>
        <w:t xml:space="preserve">Formation en technique d’extraction de beurre de karité et du </w:t>
      </w:r>
      <w:r>
        <w:rPr>
          <w:rFonts w:ascii="Century Gothic" w:hAnsi="Century Gothic"/>
          <w:i/>
        </w:rPr>
        <w:t>soumbala</w:t>
      </w:r>
      <w:r>
        <w:rPr>
          <w:rFonts w:ascii="Century Gothic" w:hAnsi="Century Gothic"/>
        </w:rPr>
        <w:t>.</w:t>
      </w:r>
    </w:p>
    <w:p>
      <w:pPr>
        <w:pStyle w:val="style179"/>
        <w:tabs>
          <w:tab w:val="left" w:leader="none" w:pos="9214"/>
          <w:tab w:val="left" w:leader="none" w:pos="9639"/>
        </w:tabs>
        <w:ind w:left="0"/>
        <w:jc w:val="both"/>
        <w:rPr>
          <w:rFonts w:ascii="Century Gothic" w:hAnsi="Century Gothic"/>
        </w:rPr>
      </w:pPr>
    </w:p>
    <w:p>
      <w:pPr>
        <w:pStyle w:val="style0"/>
        <w:tabs>
          <w:tab w:val="left" w:leader="none" w:pos="9214"/>
          <w:tab w:val="left" w:leader="none" w:pos="9639"/>
        </w:tabs>
        <w:jc w:val="both"/>
        <w:rPr>
          <w:rFonts w:ascii="Century Gothic" w:hAnsi="Century Gothic"/>
          <w:b/>
        </w:rPr>
      </w:pPr>
      <w:r>
        <w:rPr>
          <w:rFonts w:ascii="Century Gothic" w:hAnsi="Century Gothic"/>
        </w:rPr>
        <w:t xml:space="preserve">Les séances de sensibilisation seront exécutées par le service de l’environnement de Tiébélé sur la base d’un protocole et en assurera le suivi. La formation en technique d’extraction de beurre de karité et de préparation du </w:t>
      </w:r>
      <w:r>
        <w:rPr>
          <w:rFonts w:ascii="Century Gothic" w:hAnsi="Century Gothic"/>
          <w:i/>
        </w:rPr>
        <w:t>soumbala</w:t>
      </w:r>
      <w:r>
        <w:rPr>
          <w:rFonts w:ascii="Century Gothic" w:hAnsi="Century Gothic"/>
        </w:rPr>
        <w:t xml:space="preserve"> sera assurée par des prestataires (Associations/Groupements/ONG) recrutés conformément à des TDR. </w:t>
      </w:r>
      <w:r>
        <w:rPr>
          <w:rFonts w:ascii="Century Gothic" w:hAnsi="Century Gothic"/>
          <w:b/>
        </w:rPr>
        <w:t>Le résultat attendu</w:t>
      </w:r>
      <w:r>
        <w:rPr>
          <w:rFonts w:ascii="Century Gothic" w:hAnsi="Century Gothic"/>
        </w:rPr>
        <w:t xml:space="preserve"> est qu’au terme des formations, 30 femmes, membres des groupements renforcent leurs capacités techniques sur la production du beurre de karité du soumbala de qualité. </w:t>
      </w:r>
      <w:r>
        <w:rPr>
          <w:rFonts w:ascii="Century Gothic" w:hAnsi="Century Gothic"/>
          <w:b/>
        </w:rPr>
        <w:t>Les moyens physiques</w:t>
      </w:r>
      <w:r>
        <w:rPr>
          <w:rFonts w:ascii="Century Gothic" w:hAnsi="Century Gothic"/>
        </w:rPr>
        <w:t xml:space="preserve"> se résumeront en matériel et fournitures de formation</w:t>
      </w:r>
      <w:r>
        <w:rPr>
          <w:rFonts w:ascii="Century Gothic" w:hAnsi="Century Gothic"/>
        </w:rPr>
        <w:t xml:space="preserve">.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sont constitués de l’expertise technique du service de l’environnement. </w:t>
      </w:r>
      <w:r>
        <w:rPr>
          <w:rFonts w:ascii="Century Gothic" w:hAnsi="Century Gothic"/>
          <w:b/>
        </w:rPr>
        <w:t>Les moyens financiers</w:t>
      </w:r>
      <w:r>
        <w:rPr>
          <w:rFonts w:ascii="Century Gothic" w:hAnsi="Century Gothic"/>
        </w:rPr>
        <w:t xml:space="preserve"> seront constitués de frais de prise </w:t>
      </w:r>
      <w:r>
        <w:rPr>
          <w:rFonts w:ascii="Century Gothic" w:hAnsi="Century Gothic"/>
        </w:rPr>
        <w:t xml:space="preserve">en charge </w:t>
      </w:r>
      <w:r>
        <w:rPr>
          <w:rFonts w:ascii="Century Gothic" w:hAnsi="Century Gothic"/>
        </w:rPr>
        <w:t>du formateur et la restauration des participants. Ces ressources seront financées par le budget du PDIC/REDD+ de Tiébélé. L’organisation et la gestion de l’activité sera faite par le maire qui assure le rôle de coordination de l’activité en collaboration avec les responsables de l</w:t>
      </w:r>
      <w:r>
        <w:rPr>
          <w:rFonts w:ascii="Century Gothic" w:hAnsi="Century Gothic"/>
        </w:rPr>
        <w:t>’union des</w:t>
      </w:r>
      <w:r>
        <w:rPr>
          <w:rFonts w:ascii="Century Gothic" w:hAnsi="Century Gothic"/>
        </w:rPr>
        <w:t xml:space="preserve"> </w:t>
      </w:r>
      <w:r>
        <w:rPr>
          <w:rFonts w:ascii="Century Gothic" w:hAnsi="Century Gothic"/>
          <w:bCs/>
        </w:rPr>
        <w:t xml:space="preserve">SCOOP </w:t>
      </w:r>
      <w:r>
        <w:rPr>
          <w:rFonts w:ascii="Century Gothic" w:hAnsi="Century Gothic"/>
        </w:rPr>
        <w:t xml:space="preserve">KOUDJIGUI-TINA et le service de l’agriculture.  </w:t>
      </w:r>
    </w:p>
    <w:p>
      <w:pPr>
        <w:pStyle w:val="style179"/>
        <w:tabs>
          <w:tab w:val="left" w:leader="none" w:pos="9214"/>
          <w:tab w:val="left" w:leader="none" w:pos="9639"/>
        </w:tabs>
        <w:ind w:left="0"/>
        <w:jc w:val="both"/>
        <w:rPr>
          <w:rFonts w:ascii="Century Gothic" w:hAnsi="Century Gothic"/>
        </w:rPr>
      </w:pPr>
    </w:p>
    <w:p>
      <w:pPr>
        <w:pStyle w:val="style0"/>
        <w:tabs>
          <w:tab w:val="left" w:leader="none" w:pos="9214"/>
          <w:tab w:val="left" w:leader="none" w:pos="9639"/>
        </w:tabs>
        <w:jc w:val="both"/>
        <w:rPr>
          <w:rFonts w:ascii="Century Gothic" w:hAnsi="Century Gothic"/>
          <w:bCs/>
        </w:rPr>
      </w:pPr>
    </w:p>
    <w:bookmarkStart w:id="32" w:name="_Toc507013666"/>
    <w:bookmarkStart w:id="33" w:name="_Toc82046082"/>
    <w:p>
      <w:pPr>
        <w:pStyle w:val="style3"/>
        <w:numPr>
          <w:ilvl w:val="0"/>
          <w:numId w:val="0"/>
        </w:numPr>
        <w:ind w:left="720" w:hanging="720"/>
        <w:rPr>
          <w:rFonts w:ascii="Century Gothic" w:hAnsi="Century Gothic"/>
          <w:szCs w:val="24"/>
        </w:rPr>
      </w:pPr>
      <w:r>
        <w:rPr>
          <w:rFonts w:ascii="Century Gothic" w:hAnsi="Century Gothic"/>
          <w:szCs w:val="24"/>
        </w:rPr>
        <w:t>4</w:t>
      </w:r>
      <w:r>
        <w:rPr>
          <w:rFonts w:ascii="Century Gothic" w:hAnsi="Century Gothic"/>
          <w:szCs w:val="24"/>
        </w:rPr>
        <w:t xml:space="preserve">.4. Le suivi évaluation et la capitalisation du </w:t>
      </w:r>
      <w:bookmarkEnd w:id="32"/>
      <w:r>
        <w:rPr>
          <w:rFonts w:ascii="Century Gothic" w:cs="Arial" w:hAnsi="Century Gothic"/>
        </w:rPr>
        <w:t>PDIC/REDD+ de Tiébélé</w:t>
      </w:r>
      <w:bookmarkEnd w:id="33"/>
    </w:p>
    <w:p>
      <w:pPr>
        <w:pStyle w:val="style0"/>
        <w:spacing w:lineRule="auto" w:line="276"/>
        <w:rPr>
          <w:rFonts w:ascii="Century Gothic" w:cs="Arial" w:hAnsi="Century Gothic"/>
        </w:rPr>
      </w:pPr>
    </w:p>
    <w:p>
      <w:pPr>
        <w:pStyle w:val="style0"/>
        <w:jc w:val="both"/>
        <w:rPr>
          <w:rFonts w:ascii="Century Gothic" w:cs="Arial" w:hAnsi="Century Gothic"/>
          <w:i/>
        </w:rPr>
      </w:pPr>
      <w:r>
        <w:rPr>
          <w:rFonts w:ascii="Century Gothic" w:cs="Arial" w:hAnsi="Century Gothic"/>
          <w:i/>
          <w:u w:val="single"/>
        </w:rPr>
        <w:t>Activité 4.4.1 Organis</w:t>
      </w:r>
      <w:r>
        <w:rPr>
          <w:rFonts w:ascii="Century Gothic" w:cs="Arial" w:hAnsi="Century Gothic"/>
          <w:i/>
          <w:u w:val="single"/>
        </w:rPr>
        <w:t>er l’</w:t>
      </w:r>
      <w:r>
        <w:rPr>
          <w:rFonts w:ascii="Century Gothic" w:cs="Arial" w:hAnsi="Century Gothic"/>
          <w:i/>
          <w:u w:val="single"/>
        </w:rPr>
        <w:t xml:space="preserve">atelier de lancement du </w:t>
      </w:r>
      <w:r>
        <w:rPr>
          <w:rFonts w:ascii="Century Gothic" w:cs="Arial" w:hAnsi="Century Gothic"/>
          <w:i/>
          <w:u w:val="single"/>
        </w:rPr>
        <w:t>PDIC/REDD+ de Tiébélé</w:t>
      </w:r>
    </w:p>
    <w:p>
      <w:pPr>
        <w:pStyle w:val="style0"/>
        <w:jc w:val="both"/>
        <w:rPr>
          <w:rFonts w:ascii="Century Gothic" w:cs="Arial" w:hAnsi="Century Gothic"/>
        </w:rPr>
      </w:pPr>
    </w:p>
    <w:p>
      <w:pPr>
        <w:pStyle w:val="style179"/>
        <w:tabs>
          <w:tab w:val="left" w:leader="none" w:pos="9214"/>
          <w:tab w:val="left" w:leader="none" w:pos="9639"/>
        </w:tabs>
        <w:ind w:left="0"/>
        <w:jc w:val="both"/>
        <w:rPr>
          <w:rFonts w:ascii="Century Gothic" w:hAnsi="Century Gothic"/>
        </w:rPr>
      </w:pPr>
      <w:r>
        <w:rPr>
          <w:rFonts w:ascii="Century Gothic" w:cs="Arial" w:hAnsi="Century Gothic"/>
          <w:b/>
        </w:rPr>
        <w:t xml:space="preserve">L’objectif </w:t>
      </w:r>
      <w:r>
        <w:rPr>
          <w:rFonts w:ascii="Century Gothic" w:cs="Arial" w:hAnsi="Century Gothic"/>
        </w:rPr>
        <w:t xml:space="preserve">est de permettre aux acteurs locaux de s’imprégner du contenu et de la stratégie de mise en œuvre du PDIC. </w:t>
      </w:r>
      <w:r>
        <w:rPr>
          <w:rFonts w:ascii="Century Gothic" w:cs="Arial" w:hAnsi="Century Gothic"/>
          <w:b/>
        </w:rPr>
        <w:t>La méthode</w:t>
      </w:r>
      <w:r>
        <w:rPr>
          <w:rFonts w:ascii="Century Gothic" w:cs="Arial" w:hAnsi="Century Gothic"/>
          <w:i/>
        </w:rPr>
        <w:t xml:space="preserve"> </w:t>
      </w:r>
      <w:r>
        <w:rPr>
          <w:rFonts w:ascii="Century Gothic" w:cs="Arial" w:hAnsi="Century Gothic"/>
        </w:rPr>
        <w:t>va reposer sur</w:t>
      </w:r>
      <w:r>
        <w:rPr>
          <w:rFonts w:ascii="Century Gothic" w:cs="Arial" w:hAnsi="Century Gothic"/>
          <w:i/>
        </w:rPr>
        <w:t xml:space="preserve"> </w:t>
      </w:r>
      <w:r>
        <w:rPr>
          <w:rFonts w:ascii="Century Gothic" w:cs="Arial" w:hAnsi="Century Gothic"/>
        </w:rPr>
        <w:t xml:space="preserve">l’organisation d’un atelier de lancement. Il se fera sous forme de présentation du projet ainsi que l’approche de mise en œuvre suivi d’échanges. Au total une cinquantaine de participants issus des services techniques et administratifs, du conseil municipal, des représentants des CVD et des groupes socioprofessionnels participeront à cet atelier. </w:t>
      </w:r>
      <w:r>
        <w:rPr>
          <w:rFonts w:ascii="Century Gothic" w:cs="Arial" w:hAnsi="Century Gothic"/>
          <w:b/>
        </w:rPr>
        <w:t>Le résultat attendu</w:t>
      </w:r>
      <w:r>
        <w:rPr>
          <w:rFonts w:ascii="Century Gothic" w:cs="Arial" w:hAnsi="Century Gothic"/>
        </w:rPr>
        <w:t xml:space="preserve"> est que les acteurs locaux et les décideurs sont informés sur le contenu du PDIC et sa stratégie de mise en œuvre. </w:t>
      </w:r>
      <w:r>
        <w:rPr>
          <w:rFonts w:ascii="Century Gothic" w:hAnsi="Century Gothic"/>
          <w:b/>
        </w:rPr>
        <w:t>Les moyens physiques</w:t>
      </w:r>
      <w:r>
        <w:rPr>
          <w:rFonts w:ascii="Century Gothic" w:hAnsi="Century Gothic"/>
        </w:rPr>
        <w:t xml:space="preserve"> se résumeront en matériel et fournitures de</w:t>
      </w:r>
      <w:r>
        <w:rPr>
          <w:rFonts w:ascii="Century Gothic" w:hAnsi="Century Gothic"/>
        </w:rPr>
        <w:t>s participants</w:t>
      </w:r>
      <w:r>
        <w:rPr>
          <w:rFonts w:ascii="Century Gothic" w:hAnsi="Century Gothic"/>
        </w:rPr>
        <w:t xml:space="preserve">.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sont constitués de l’</w:t>
      </w:r>
      <w:r>
        <w:rPr>
          <w:rFonts w:ascii="Century Gothic" w:hAnsi="Century Gothic"/>
        </w:rPr>
        <w:t>équipe des experts, du personnel de Ga Mo Wigna et des participants invités par la mairie</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constitués de frais de prise </w:t>
      </w:r>
      <w:r>
        <w:rPr>
          <w:rFonts w:ascii="Century Gothic" w:hAnsi="Century Gothic"/>
        </w:rPr>
        <w:t xml:space="preserve">en charge </w:t>
      </w:r>
      <w:r>
        <w:rPr>
          <w:rFonts w:ascii="Century Gothic" w:hAnsi="Century Gothic"/>
        </w:rPr>
        <w:t xml:space="preserve">et la restauration des participants. Ces ressources seront financées par le budget du PDIC/REDD+ de Tiébélé. L’organisation et la gestion de l’activité sera faite par le maire qui assure le rôle de coordination de l’activité en collaboration avec les </w:t>
      </w:r>
      <w:r>
        <w:rPr>
          <w:rFonts w:ascii="Century Gothic" w:hAnsi="Century Gothic"/>
        </w:rPr>
        <w:t>conseillers.</w:t>
      </w:r>
    </w:p>
    <w:p>
      <w:pPr>
        <w:pStyle w:val="style0"/>
        <w:jc w:val="both"/>
        <w:rPr>
          <w:rFonts w:ascii="Century Gothic" w:cs="Arial" w:hAnsi="Century Gothic"/>
        </w:rPr>
      </w:pPr>
    </w:p>
    <w:p>
      <w:pPr>
        <w:pStyle w:val="style0"/>
        <w:jc w:val="both"/>
        <w:rPr>
          <w:rFonts w:ascii="Century Gothic" w:cs="Arial" w:hAnsi="Century Gothic"/>
          <w:i/>
          <w:u w:val="single"/>
        </w:rPr>
      </w:pPr>
      <w:r>
        <w:rPr>
          <w:rFonts w:ascii="Century Gothic" w:cs="Arial" w:hAnsi="Century Gothic"/>
          <w:i/>
          <w:u w:val="single"/>
        </w:rPr>
        <w:t>Activité 4.4.</w:t>
      </w:r>
      <w:r>
        <w:rPr>
          <w:rFonts w:ascii="Century Gothic" w:cs="Arial" w:hAnsi="Century Gothic"/>
          <w:i/>
          <w:u w:val="single"/>
        </w:rPr>
        <w:t>2</w:t>
      </w:r>
      <w:r>
        <w:rPr>
          <w:rFonts w:ascii="Century Gothic" w:cs="Arial" w:hAnsi="Century Gothic"/>
          <w:i/>
          <w:u w:val="single"/>
        </w:rPr>
        <w:t xml:space="preserve"> </w:t>
      </w:r>
      <w:r>
        <w:rPr>
          <w:rFonts w:ascii="Century Gothic" w:cs="Arial" w:hAnsi="Century Gothic"/>
          <w:i/>
          <w:u w:val="single"/>
        </w:rPr>
        <w:t xml:space="preserve">Suivre la mise en œuvre du PDIC/REDD+ de </w:t>
      </w:r>
      <w:r>
        <w:rPr>
          <w:rFonts w:ascii="Century Gothic" w:cs="Arial" w:hAnsi="Century Gothic"/>
          <w:i/>
          <w:u w:val="single"/>
        </w:rPr>
        <w:t>T</w:t>
      </w:r>
      <w:r>
        <w:rPr>
          <w:rFonts w:ascii="Century Gothic" w:cs="Arial" w:hAnsi="Century Gothic"/>
          <w:i/>
          <w:u w:val="single"/>
        </w:rPr>
        <w:t>iébélé</w:t>
      </w:r>
    </w:p>
    <w:p>
      <w:pPr>
        <w:pStyle w:val="style0"/>
        <w:jc w:val="both"/>
        <w:rPr>
          <w:rFonts w:ascii="Century Gothic" w:cs="Arial" w:hAnsi="Century Gothic"/>
          <w:i/>
          <w:u w:val="single"/>
        </w:rPr>
      </w:pPr>
    </w:p>
    <w:p>
      <w:pPr>
        <w:pStyle w:val="style179"/>
        <w:tabs>
          <w:tab w:val="left" w:leader="none" w:pos="9214"/>
          <w:tab w:val="left" w:leader="none" w:pos="9639"/>
        </w:tabs>
        <w:ind w:left="0"/>
        <w:jc w:val="both"/>
        <w:rPr>
          <w:rFonts w:ascii="Century Gothic" w:hAnsi="Century Gothic"/>
        </w:rPr>
      </w:pPr>
      <w:r>
        <w:rPr>
          <w:rFonts w:ascii="Century Gothic" w:cs="Arial" w:hAnsi="Century Gothic"/>
          <w:b/>
          <w:i/>
        </w:rPr>
        <w:t xml:space="preserve">L’objectif </w:t>
      </w:r>
      <w:r>
        <w:rPr>
          <w:rFonts w:ascii="Century Gothic" w:cs="Arial" w:hAnsi="Century Gothic"/>
        </w:rPr>
        <w:t xml:space="preserve">est d’assurer la gestion participative et transparente du PDIC. </w:t>
      </w:r>
      <w:r>
        <w:rPr>
          <w:rFonts w:ascii="Century Gothic" w:cs="Arial" w:hAnsi="Century Gothic"/>
          <w:b/>
          <w:i/>
        </w:rPr>
        <w:t>La méthode</w:t>
      </w:r>
      <w:r>
        <w:rPr>
          <w:rFonts w:ascii="Century Gothic" w:cs="Arial" w:hAnsi="Century Gothic"/>
        </w:rPr>
        <w:t xml:space="preserve"> va reposer sur l</w:t>
      </w:r>
      <w:r>
        <w:rPr>
          <w:rFonts w:ascii="Century Gothic" w:cs="Arial" w:hAnsi="Century Gothic"/>
        </w:rPr>
        <w:t xml:space="preserve">’organisation de rencontres annuelles de la commission communale mise en place à cet effet. Le suivi consistera à </w:t>
      </w:r>
      <w:r>
        <w:rPr>
          <w:rFonts w:ascii="Century Gothic" w:cs="Arial" w:hAnsi="Century Gothic"/>
        </w:rPr>
        <w:t>(i) l’adoption des plans de travail, (ii) la validation des rapports techniques et financiers</w:t>
      </w:r>
      <w:r>
        <w:rPr>
          <w:rFonts w:ascii="Century Gothic" w:cs="Arial" w:hAnsi="Century Gothic"/>
        </w:rPr>
        <w:t xml:space="preserve"> et les visites terrain pour apprécier les réalisations</w:t>
      </w:r>
      <w:r>
        <w:rPr>
          <w:rFonts w:ascii="Century Gothic" w:cs="Arial" w:hAnsi="Century Gothic"/>
        </w:rPr>
        <w:t xml:space="preserve">. </w:t>
      </w:r>
      <w:r>
        <w:rPr>
          <w:rFonts w:ascii="Century Gothic" w:cs="Arial" w:hAnsi="Century Gothic"/>
          <w:b/>
          <w:i/>
        </w:rPr>
        <w:t>Le résultat attendu</w:t>
      </w:r>
      <w:r>
        <w:rPr>
          <w:rFonts w:ascii="Century Gothic" w:cs="Arial" w:hAnsi="Century Gothic"/>
        </w:rPr>
        <w:t xml:space="preserve"> est que le PDIC</w:t>
      </w:r>
      <w:r>
        <w:rPr>
          <w:rFonts w:ascii="Century Gothic" w:cs="Arial" w:hAnsi="Century Gothic"/>
        </w:rPr>
        <w:t xml:space="preserve">/REDD+ de </w:t>
      </w:r>
      <w:r>
        <w:rPr>
          <w:rFonts w:ascii="Century Gothic" w:cs="Arial" w:hAnsi="Century Gothic"/>
        </w:rPr>
        <w:t>Tiébélé</w:t>
      </w:r>
      <w:r>
        <w:rPr>
          <w:rFonts w:ascii="Century Gothic" w:cs="Arial" w:hAnsi="Century Gothic"/>
        </w:rPr>
        <w:t xml:space="preserve"> est bien géré et les résultats régulièrement capitalisé</w:t>
      </w:r>
      <w:r>
        <w:rPr>
          <w:rFonts w:ascii="Century Gothic" w:cs="Arial" w:hAnsi="Century Gothic"/>
        </w:rPr>
        <w:t>s</w:t>
      </w:r>
      <w:r>
        <w:rPr>
          <w:rFonts w:ascii="Century Gothic" w:cs="Arial" w:hAnsi="Century Gothic"/>
        </w:rPr>
        <w:t>.</w:t>
      </w:r>
      <w:r>
        <w:rPr>
          <w:rFonts w:ascii="Century Gothic" w:cs="Arial" w:hAnsi="Century Gothic"/>
          <w:b/>
          <w:i/>
        </w:rPr>
        <w:t xml:space="preserve"> </w:t>
      </w:r>
      <w:r>
        <w:rPr>
          <w:rFonts w:ascii="Century Gothic" w:hAnsi="Century Gothic"/>
          <w:b/>
        </w:rPr>
        <w:t>Les moyens physiques</w:t>
      </w:r>
      <w:r>
        <w:rPr>
          <w:rFonts w:ascii="Century Gothic" w:hAnsi="Century Gothic"/>
        </w:rPr>
        <w:t xml:space="preserve"> se résumeront en matériel et fournitures de formation.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sont constitués de</w:t>
      </w:r>
      <w:r>
        <w:rPr>
          <w:rFonts w:ascii="Century Gothic" w:hAnsi="Century Gothic"/>
        </w:rPr>
        <w:t>s membres de la commission communale</w:t>
      </w:r>
      <w:r>
        <w:rPr>
          <w:rFonts w:ascii="Century Gothic" w:hAnsi="Century Gothic"/>
        </w:rPr>
        <w:t xml:space="preserve">. </w:t>
      </w:r>
      <w:r>
        <w:rPr>
          <w:rFonts w:ascii="Century Gothic" w:hAnsi="Century Gothic"/>
          <w:b/>
        </w:rPr>
        <w:t>Les moyens financiers</w:t>
      </w:r>
      <w:r>
        <w:rPr>
          <w:rFonts w:ascii="Century Gothic" w:hAnsi="Century Gothic"/>
        </w:rPr>
        <w:t xml:space="preserve"> seront constitués de frais de prise </w:t>
      </w:r>
      <w:r>
        <w:rPr>
          <w:rFonts w:ascii="Century Gothic" w:hAnsi="Century Gothic"/>
        </w:rPr>
        <w:t xml:space="preserve">en charge des membres de la commission </w:t>
      </w:r>
      <w:r>
        <w:rPr>
          <w:rFonts w:ascii="Century Gothic" w:hAnsi="Century Gothic"/>
        </w:rPr>
        <w:t xml:space="preserve">et la restauration des participants. Ces ressources seront financées par le budget du PDIC/REDD+ de Tiébélé. L’organisation et la gestion de l’activité sera faite par le maire qui assure le rôle de coordination de l’activité en collaboration avec les </w:t>
      </w:r>
      <w:r>
        <w:rPr>
          <w:rFonts w:ascii="Century Gothic" w:hAnsi="Century Gothic"/>
        </w:rPr>
        <w:t xml:space="preserve">membres. </w:t>
      </w:r>
    </w:p>
    <w:p>
      <w:pPr>
        <w:pStyle w:val="style179"/>
        <w:tabs>
          <w:tab w:val="left" w:leader="none" w:pos="9214"/>
          <w:tab w:val="left" w:leader="none" w:pos="9639"/>
        </w:tabs>
        <w:ind w:left="0"/>
        <w:jc w:val="both"/>
        <w:rPr>
          <w:rFonts w:ascii="Century Gothic" w:hAnsi="Century Gothic"/>
          <w:bCs/>
        </w:rPr>
      </w:pPr>
    </w:p>
    <w:p>
      <w:pPr>
        <w:pStyle w:val="style0"/>
        <w:tabs>
          <w:tab w:val="left" w:leader="none" w:pos="9214"/>
          <w:tab w:val="left" w:leader="none" w:pos="9639"/>
        </w:tabs>
        <w:jc w:val="both"/>
        <w:rPr>
          <w:rFonts w:ascii="Century Gothic" w:hAnsi="Century Gothic"/>
          <w:i/>
          <w:u w:val="single"/>
        </w:rPr>
      </w:pPr>
      <w:r>
        <w:rPr>
          <w:rFonts w:ascii="Century Gothic" w:hAnsi="Century Gothic"/>
          <w:i/>
          <w:u w:val="single"/>
        </w:rPr>
        <w:t>Activité 4.4</w:t>
      </w:r>
      <w:r>
        <w:rPr>
          <w:rFonts w:ascii="Century Gothic" w:hAnsi="Century Gothic"/>
          <w:i/>
          <w:u w:val="single"/>
        </w:rPr>
        <w:t>.</w:t>
      </w:r>
      <w:r>
        <w:rPr>
          <w:rFonts w:ascii="Century Gothic" w:hAnsi="Century Gothic"/>
          <w:i/>
          <w:u w:val="single"/>
        </w:rPr>
        <w:t>3</w:t>
      </w:r>
      <w:r>
        <w:rPr>
          <w:rFonts w:ascii="Century Gothic" w:hAnsi="Century Gothic"/>
          <w:bCs/>
          <w:i/>
          <w:u w:val="single"/>
        </w:rPr>
        <w:t>. M</w:t>
      </w:r>
      <w:r>
        <w:rPr>
          <w:rFonts w:ascii="Century Gothic" w:hAnsi="Century Gothic"/>
          <w:i/>
          <w:u w:val="single"/>
        </w:rPr>
        <w:t xml:space="preserve">ettre en œuvre des mesures de sauvegarde environnementales et sociales </w:t>
      </w:r>
      <w:r>
        <w:rPr>
          <w:rFonts w:ascii="Century Gothic" w:hAnsi="Century Gothic"/>
          <w:i/>
          <w:u w:val="single"/>
        </w:rPr>
        <w:t xml:space="preserve">du PDIC/REDD+ de </w:t>
      </w:r>
      <w:r>
        <w:rPr>
          <w:rFonts w:ascii="Century Gothic" w:hAnsi="Century Gothic"/>
          <w:i/>
          <w:u w:val="single"/>
        </w:rPr>
        <w:t>Tiébélé</w:t>
      </w:r>
    </w:p>
    <w:p>
      <w:pPr>
        <w:pStyle w:val="style0"/>
        <w:tabs>
          <w:tab w:val="left" w:leader="none" w:pos="9214"/>
          <w:tab w:val="left" w:leader="none" w:pos="9639"/>
        </w:tabs>
        <w:jc w:val="both"/>
        <w:rPr>
          <w:rFonts w:ascii="Century Gothic" w:hAnsi="Century Gothic"/>
          <w:i/>
          <w:u w:val="single"/>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La mise en œuvre du PDIC/REDD+ de </w:t>
      </w:r>
      <w:r>
        <w:rPr>
          <w:rFonts w:ascii="Century Gothic" w:hAnsi="Century Gothic"/>
        </w:rPr>
        <w:t>Tiébélé</w:t>
      </w:r>
      <w:r>
        <w:rPr>
          <w:rFonts w:ascii="Century Gothic" w:hAnsi="Century Gothic"/>
        </w:rPr>
        <w:t xml:space="preserve"> aura des impacts négatifs ou positifs qui mériteraient attention particulière. </w:t>
      </w:r>
      <w:r>
        <w:rPr>
          <w:rFonts w:ascii="Century Gothic" w:hAnsi="Century Gothic"/>
          <w:b/>
        </w:rPr>
        <w:t>L’objectif</w:t>
      </w:r>
      <w:r>
        <w:rPr>
          <w:rFonts w:ascii="Century Gothic" w:hAnsi="Century Gothic"/>
          <w:b/>
          <w:i/>
        </w:rPr>
        <w:t xml:space="preserve"> </w:t>
      </w:r>
      <w:r>
        <w:rPr>
          <w:rFonts w:ascii="Century Gothic" w:hAnsi="Century Gothic"/>
        </w:rPr>
        <w:t xml:space="preserve">de cette activité est de renforcer la prise en compte des mesures de sauvegarde environnementales et sociales dans la mise en œuvre du PDIC/REDD+ de </w:t>
      </w:r>
      <w:r>
        <w:rPr>
          <w:rFonts w:ascii="Century Gothic" w:hAnsi="Century Gothic"/>
        </w:rPr>
        <w:t>Tiébélé</w:t>
      </w:r>
      <w:r>
        <w:rPr>
          <w:rFonts w:ascii="Century Gothic" w:hAnsi="Century Gothic"/>
        </w:rPr>
        <w:t xml:space="preserve">. Il s’agira de prendre ou de s’assurer qu’un certain nombre de dispositions sont mises en place (gestion des déchets, sécurité et santé des personnes lors des travaux, prise en comptes des personnes vulnérables et du genre, etc.) dans la planification et la mise en œuvre des activités. </w:t>
      </w:r>
      <w:r>
        <w:rPr>
          <w:rFonts w:ascii="Century Gothic" w:hAnsi="Century Gothic"/>
          <w:b/>
        </w:rPr>
        <w:t>La méthode</w:t>
      </w:r>
      <w:r>
        <w:rPr>
          <w:rFonts w:ascii="Century Gothic" w:hAnsi="Century Gothic"/>
        </w:rPr>
        <w:t xml:space="preserve"> va reposer sur la responsabilisation d’un point focal « sauvegarde environnementale et social</w:t>
      </w:r>
      <w:r>
        <w:rPr>
          <w:rFonts w:ascii="Century Gothic" w:hAnsi="Century Gothic"/>
        </w:rPr>
        <w:t>e</w:t>
      </w:r>
      <w:r>
        <w:rPr>
          <w:rFonts w:ascii="Century Gothic" w:hAnsi="Century Gothic"/>
        </w:rPr>
        <w:t xml:space="preserve"> du PDIC/REDD+ au niveau de l’association Ga Mo Wigna</w:t>
      </w:r>
      <w:r>
        <w:rPr>
          <w:rFonts w:ascii="Century Gothic" w:hAnsi="Century Gothic"/>
        </w:rPr>
        <w:t>. Celui-ci</w:t>
      </w:r>
      <w:r>
        <w:rPr>
          <w:rFonts w:ascii="Century Gothic" w:hAnsi="Century Gothic"/>
        </w:rPr>
        <w:t xml:space="preserve"> bénéficiera d’une formation </w:t>
      </w:r>
      <w:r>
        <w:rPr>
          <w:rFonts w:ascii="Century Gothic" w:hAnsi="Century Gothic"/>
        </w:rPr>
        <w:t>spécifique pour pouvoir as</w:t>
      </w:r>
      <w:r>
        <w:rPr>
          <w:rFonts w:ascii="Century Gothic" w:hAnsi="Century Gothic"/>
        </w:rPr>
        <w:t xml:space="preserve">surer le suivi conseil de proximité de la mise en œuvre des activités </w:t>
      </w:r>
      <w:r>
        <w:rPr>
          <w:rFonts w:ascii="Century Gothic" w:hAnsi="Century Gothic"/>
        </w:rPr>
        <w:t>de sorte à ce</w:t>
      </w:r>
      <w:r>
        <w:rPr>
          <w:rFonts w:ascii="Century Gothic" w:hAnsi="Century Gothic"/>
        </w:rPr>
        <w:t xml:space="preserve"> que les impacts </w:t>
      </w:r>
      <w:r>
        <w:rPr>
          <w:rFonts w:ascii="Century Gothic" w:hAnsi="Century Gothic"/>
        </w:rPr>
        <w:t xml:space="preserve">positifs </w:t>
      </w:r>
      <w:r>
        <w:rPr>
          <w:rFonts w:ascii="Century Gothic" w:hAnsi="Century Gothic"/>
        </w:rPr>
        <w:t>soient</w:t>
      </w:r>
      <w:r>
        <w:rPr>
          <w:rFonts w:ascii="Century Gothic" w:hAnsi="Century Gothic"/>
        </w:rPr>
        <w:t xml:space="preserve"> bonifiés et les impacts négatifs </w:t>
      </w:r>
      <w:r>
        <w:rPr>
          <w:rFonts w:ascii="Century Gothic" w:hAnsi="Century Gothic"/>
        </w:rPr>
        <w:t>soient atténués</w:t>
      </w:r>
      <w:r>
        <w:rPr>
          <w:rFonts w:ascii="Century Gothic" w:hAnsi="Century Gothic"/>
        </w:rPr>
        <w:t xml:space="preserve"> sur l’environnement et sur les Hommes. </w:t>
      </w:r>
      <w:r>
        <w:rPr>
          <w:rFonts w:ascii="Century Gothic" w:hAnsi="Century Gothic"/>
          <w:b/>
        </w:rPr>
        <w:t>Les moyens humains</w:t>
      </w:r>
      <w:r>
        <w:rPr>
          <w:rFonts w:ascii="Century Gothic" w:hAnsi="Century Gothic"/>
        </w:rPr>
        <w:t xml:space="preserve"> sont constitués d’un expert </w:t>
      </w:r>
      <w:r>
        <w:rPr>
          <w:rFonts w:ascii="Century Gothic" w:hAnsi="Century Gothic"/>
        </w:rPr>
        <w:t xml:space="preserve">qui est </w:t>
      </w:r>
      <w:r>
        <w:rPr>
          <w:rFonts w:ascii="Century Gothic" w:hAnsi="Century Gothic"/>
        </w:rPr>
        <w:t xml:space="preserve">point focal sauvegarde de Ga Mo Wigna avec l’appui de personnes ressources pour donner les conseils spécifiques à la mairie et aux prestataires de certains travaux. </w:t>
      </w:r>
      <w:r>
        <w:rPr>
          <w:rFonts w:ascii="Century Gothic" w:hAnsi="Century Gothic"/>
          <w:b/>
        </w:rPr>
        <w:t>Les moyens financiers</w:t>
      </w:r>
      <w:r>
        <w:rPr>
          <w:rFonts w:ascii="Century Gothic" w:hAnsi="Century Gothic"/>
        </w:rPr>
        <w:t xml:space="preserve"> sont mobilisés dans la composante contribution financière de l’association Ga Mo Wigna au budget du PDIC/REDD+ de </w:t>
      </w:r>
      <w:r>
        <w:rPr>
          <w:rFonts w:ascii="Century Gothic" w:hAnsi="Century Gothic"/>
        </w:rPr>
        <w:t>Tiébélé</w:t>
      </w:r>
      <w:r>
        <w:rPr>
          <w:rFonts w:ascii="Century Gothic" w:hAnsi="Century Gothic"/>
        </w:rPr>
        <w:t>.</w:t>
      </w:r>
    </w:p>
    <w:p>
      <w:pPr>
        <w:pStyle w:val="style0"/>
        <w:jc w:val="both"/>
        <w:rPr>
          <w:rFonts w:ascii="Century Gothic" w:cs="Arial" w:hAnsi="Century Gothic"/>
          <w:b/>
          <w:u w:val="single"/>
        </w:rPr>
      </w:pPr>
    </w:p>
    <w:p>
      <w:pPr>
        <w:pStyle w:val="style0"/>
        <w:jc w:val="both"/>
        <w:rPr>
          <w:rFonts w:ascii="Century Gothic" w:cs="Arial" w:hAnsi="Century Gothic"/>
          <w:i/>
          <w:u w:val="single"/>
        </w:rPr>
      </w:pPr>
      <w:r>
        <w:rPr>
          <w:rFonts w:ascii="Century Gothic" w:cs="Arial" w:hAnsi="Century Gothic"/>
          <w:i/>
          <w:u w:val="single"/>
        </w:rPr>
        <w:t xml:space="preserve">Activité 4.4.4 Organiser l’atelier de capitalisation du PDIC/REDD+ de </w:t>
      </w:r>
      <w:r>
        <w:rPr>
          <w:rFonts w:ascii="Century Gothic" w:cs="Arial" w:hAnsi="Century Gothic"/>
          <w:i/>
          <w:u w:val="single"/>
        </w:rPr>
        <w:t>Tiébélé</w:t>
      </w:r>
    </w:p>
    <w:p>
      <w:pPr>
        <w:pStyle w:val="style0"/>
        <w:jc w:val="both"/>
        <w:rPr>
          <w:rFonts w:ascii="Century Gothic" w:cs="Arial" w:hAnsi="Century Gothic"/>
          <w:i/>
          <w:u w:val="single"/>
        </w:rPr>
      </w:pPr>
    </w:p>
    <w:p>
      <w:pPr>
        <w:pStyle w:val="style179"/>
        <w:tabs>
          <w:tab w:val="left" w:leader="none" w:pos="9214"/>
          <w:tab w:val="left" w:leader="none" w:pos="9639"/>
        </w:tabs>
        <w:ind w:left="0"/>
        <w:jc w:val="both"/>
        <w:rPr>
          <w:rFonts w:ascii="Century Gothic" w:hAnsi="Century Gothic"/>
        </w:rPr>
      </w:pPr>
      <w:r>
        <w:rPr>
          <w:rFonts w:ascii="Century Gothic" w:cs="Arial" w:hAnsi="Century Gothic"/>
          <w:b/>
          <w:i/>
        </w:rPr>
        <w:t>L’objectif</w:t>
      </w:r>
      <w:r>
        <w:rPr>
          <w:rFonts w:ascii="Century Gothic" w:cs="Arial" w:hAnsi="Century Gothic"/>
        </w:rPr>
        <w:t xml:space="preserve"> visé est de diffuser largement les leçons et les résultats obtenus de la mise en œuvre du PDIC</w:t>
      </w:r>
      <w:r>
        <w:rPr>
          <w:rFonts w:ascii="Century Gothic" w:cs="Arial" w:hAnsi="Century Gothic"/>
        </w:rPr>
        <w:t xml:space="preserve">/REDD+ de </w:t>
      </w:r>
      <w:r>
        <w:rPr>
          <w:rFonts w:ascii="Century Gothic" w:cs="Arial" w:hAnsi="Century Gothic"/>
        </w:rPr>
        <w:t>Tiébélé</w:t>
      </w:r>
      <w:r>
        <w:rPr>
          <w:rFonts w:ascii="Century Gothic" w:cs="Arial" w:hAnsi="Century Gothic"/>
        </w:rPr>
        <w:t xml:space="preserve">. </w:t>
      </w:r>
      <w:r>
        <w:rPr>
          <w:rFonts w:ascii="Century Gothic" w:cs="Arial" w:hAnsi="Century Gothic"/>
          <w:b/>
          <w:i/>
        </w:rPr>
        <w:t xml:space="preserve">La méthode </w:t>
      </w:r>
      <w:r>
        <w:rPr>
          <w:rFonts w:ascii="Century Gothic" w:cs="Arial" w:hAnsi="Century Gothic"/>
        </w:rPr>
        <w:t xml:space="preserve">va reposer sur l’élaboration des TDR, l’identification et l’invitation des participants. L’atelier se fera sous forme de présentation des résultats </w:t>
      </w:r>
      <w:r>
        <w:rPr>
          <w:rFonts w:ascii="Century Gothic" w:cs="Arial" w:hAnsi="Century Gothic"/>
        </w:rPr>
        <w:t>et enseignements tirés de la mise en œuvre du PDIC</w:t>
      </w:r>
      <w:r>
        <w:rPr>
          <w:rFonts w:ascii="Century Gothic" w:cs="Arial" w:hAnsi="Century Gothic"/>
        </w:rPr>
        <w:t xml:space="preserve"> suivi d’échanges. </w:t>
      </w:r>
      <w:r>
        <w:rPr>
          <w:rFonts w:ascii="Century Gothic" w:cs="Arial" w:hAnsi="Century Gothic"/>
          <w:b/>
          <w:i/>
        </w:rPr>
        <w:t>Le résultat attendu</w:t>
      </w:r>
      <w:r>
        <w:rPr>
          <w:rFonts w:ascii="Century Gothic" w:cs="Arial" w:hAnsi="Century Gothic"/>
        </w:rPr>
        <w:t xml:space="preserve"> est que les acquis et les points à améliorer de la mise en œuvre du </w:t>
      </w:r>
      <w:r>
        <w:rPr>
          <w:rFonts w:ascii="Century Gothic" w:cs="Arial" w:hAnsi="Century Gothic"/>
        </w:rPr>
        <w:t xml:space="preserve">PDIC/REDD+ de </w:t>
      </w:r>
      <w:r>
        <w:rPr>
          <w:rFonts w:ascii="Century Gothic" w:cs="Arial" w:hAnsi="Century Gothic"/>
        </w:rPr>
        <w:t>Tiébélé</w:t>
      </w:r>
      <w:r>
        <w:rPr>
          <w:rFonts w:ascii="Century Gothic" w:cs="Arial" w:hAnsi="Century Gothic"/>
        </w:rPr>
        <w:t xml:space="preserve"> sont identifiés et largement diffusés. </w:t>
      </w:r>
      <w:r>
        <w:rPr>
          <w:rFonts w:ascii="Century Gothic" w:hAnsi="Century Gothic"/>
          <w:b/>
        </w:rPr>
        <w:t>Les moyens physiques</w:t>
      </w:r>
      <w:r>
        <w:rPr>
          <w:rFonts w:ascii="Century Gothic" w:hAnsi="Century Gothic"/>
        </w:rPr>
        <w:t xml:space="preserve"> se résumeront en matériel et fournitures des participants. </w:t>
      </w:r>
      <w:r>
        <w:rPr>
          <w:rFonts w:ascii="Century Gothic" w:hAnsi="Century Gothic"/>
          <w:b/>
        </w:rPr>
        <w:t>Les</w:t>
      </w:r>
      <w:r>
        <w:rPr>
          <w:rFonts w:ascii="Century Gothic" w:hAnsi="Century Gothic"/>
        </w:rPr>
        <w:t xml:space="preserve"> </w:t>
      </w:r>
      <w:r>
        <w:rPr>
          <w:rFonts w:ascii="Century Gothic" w:hAnsi="Century Gothic"/>
          <w:b/>
        </w:rPr>
        <w:t>moyens humains</w:t>
      </w:r>
      <w:r>
        <w:rPr>
          <w:rFonts w:ascii="Century Gothic" w:hAnsi="Century Gothic"/>
        </w:rPr>
        <w:t xml:space="preserve"> sont constitués de l’équipe des experts, du personnel de Ga Mo Wigna et des participants invités par la mairie. </w:t>
      </w:r>
      <w:r>
        <w:rPr>
          <w:rFonts w:ascii="Century Gothic" w:hAnsi="Century Gothic"/>
          <w:b/>
        </w:rPr>
        <w:t>Les moyens financiers</w:t>
      </w:r>
      <w:r>
        <w:rPr>
          <w:rFonts w:ascii="Century Gothic" w:hAnsi="Century Gothic"/>
        </w:rPr>
        <w:t xml:space="preserve"> seront constitués de frais de prise en charge et la restauration des participants. Ces ressources seront financées par le budget du PDIC/REDD+ de Tiébélé. L’organisation et la gestion de l’activité sera faite par le maire qui assure le rôle de coordination de l’activité en collaboration avec les conseillers.</w:t>
      </w:r>
    </w:p>
    <w:p>
      <w:pPr>
        <w:pStyle w:val="style179"/>
        <w:tabs>
          <w:tab w:val="left" w:leader="none" w:pos="9214"/>
          <w:tab w:val="left" w:leader="none" w:pos="9639"/>
        </w:tabs>
        <w:ind w:left="0"/>
        <w:jc w:val="both"/>
        <w:rPr>
          <w:rFonts w:ascii="Century Gothic" w:hAnsi="Century Gothic"/>
          <w:bCs/>
        </w:rPr>
      </w:pPr>
    </w:p>
    <w:bookmarkStart w:id="34" w:name="_Toc82046083"/>
    <w:p>
      <w:pPr>
        <w:pStyle w:val="style1"/>
        <w:numPr>
          <w:ilvl w:val="0"/>
          <w:numId w:val="0"/>
        </w:numPr>
        <w:tabs>
          <w:tab w:val="left" w:leader="none" w:pos="9214"/>
          <w:tab w:val="left" w:leader="none" w:pos="9639"/>
        </w:tabs>
        <w:spacing w:before="0" w:after="0"/>
        <w:rPr>
          <w:rFonts w:ascii="Century Gothic" w:hAnsi="Century Gothic"/>
          <w:i/>
          <w:sz w:val="24"/>
          <w:szCs w:val="24"/>
          <w:u w:val="single"/>
        </w:rPr>
      </w:pPr>
      <w:r>
        <w:rPr>
          <w:rFonts w:ascii="Century Gothic" w:hAnsi="Century Gothic"/>
          <w:sz w:val="24"/>
          <w:szCs w:val="24"/>
          <w:u w:val="single"/>
        </w:rPr>
        <w:t>4.</w:t>
      </w:r>
      <w:r>
        <w:rPr>
          <w:rFonts w:ascii="Century Gothic" w:hAnsi="Century Gothic"/>
          <w:sz w:val="24"/>
          <w:szCs w:val="24"/>
          <w:u w:val="single"/>
        </w:rPr>
        <w:t>5</w:t>
      </w:r>
      <w:r>
        <w:rPr>
          <w:rFonts w:ascii="Century Gothic" w:hAnsi="Century Gothic"/>
          <w:sz w:val="24"/>
          <w:szCs w:val="24"/>
          <w:u w:val="single"/>
        </w:rPr>
        <w:t>. Budget détaillé du PDIC REDD+</w:t>
      </w:r>
      <w:bookmarkEnd w:id="34"/>
    </w:p>
    <w:p>
      <w:pPr>
        <w:pStyle w:val="style34"/>
        <w:rPr>
          <w:rFonts w:ascii="Century Gothic" w:hAnsi="Century Gothic"/>
          <w:color w:val="auto"/>
          <w:sz w:val="20"/>
          <w:szCs w:val="20"/>
        </w:rPr>
      </w:pPr>
    </w:p>
    <w:bookmarkStart w:id="35" w:name="_Toc82333835"/>
    <w:p>
      <w:pPr>
        <w:pStyle w:val="style34"/>
        <w:rPr>
          <w:rFonts w:ascii="Century Gothic" w:hAnsi="Century Gothic"/>
          <w:b w:val="false"/>
          <w:color w:val="auto"/>
          <w:sz w:val="22"/>
          <w:szCs w:val="22"/>
        </w:rPr>
      </w:pPr>
      <w:r>
        <w:rPr>
          <w:rFonts w:ascii="Century Gothic" w:hAnsi="Century Gothic"/>
          <w:color w:val="auto"/>
          <w:sz w:val="22"/>
          <w:szCs w:val="22"/>
        </w:rPr>
        <w:t xml:space="preserve">Tableau </w:t>
      </w:r>
      <w:r>
        <w:rPr>
          <w:rFonts w:ascii="Century Gothic" w:hAnsi="Century Gothic"/>
          <w:color w:val="auto"/>
          <w:sz w:val="22"/>
          <w:szCs w:val="22"/>
        </w:rPr>
        <w:fldChar w:fldCharType="begin"/>
      </w:r>
      <w:r>
        <w:rPr>
          <w:rFonts w:ascii="Century Gothic" w:hAnsi="Century Gothic"/>
          <w:color w:val="auto"/>
          <w:sz w:val="22"/>
          <w:szCs w:val="22"/>
        </w:rPr>
        <w:instrText xml:space="preserve"> SEQ Tableau \* ROMAN </w:instrText>
      </w:r>
      <w:r>
        <w:rPr>
          <w:rFonts w:ascii="Century Gothic" w:hAnsi="Century Gothic"/>
          <w:color w:val="auto"/>
          <w:sz w:val="22"/>
          <w:szCs w:val="22"/>
        </w:rPr>
        <w:fldChar w:fldCharType="separate"/>
      </w:r>
      <w:r>
        <w:rPr>
          <w:rFonts w:ascii="Century Gothic" w:hAnsi="Century Gothic"/>
          <w:noProof/>
          <w:color w:val="auto"/>
          <w:sz w:val="22"/>
          <w:szCs w:val="22"/>
        </w:rPr>
        <w:t>III</w:t>
      </w:r>
      <w:r>
        <w:rPr>
          <w:rFonts w:ascii="Century Gothic" w:hAnsi="Century Gothic"/>
          <w:color w:val="auto"/>
          <w:sz w:val="22"/>
          <w:szCs w:val="22"/>
        </w:rPr>
        <w:fldChar w:fldCharType="end"/>
      </w:r>
      <w:r>
        <w:rPr>
          <w:rFonts w:ascii="Century Gothic" w:hAnsi="Century Gothic"/>
          <w:color w:val="auto"/>
          <w:sz w:val="22"/>
          <w:szCs w:val="22"/>
        </w:rPr>
        <w:t>: Budget estimatif du PDIC/REDD+</w:t>
      </w:r>
      <w:bookmarkEnd w:id="35"/>
    </w:p>
    <w:tbl>
      <w:tblPr>
        <w:tblW w:w="9776" w:type="dxa"/>
        <w:tblLayout w:type="fixed"/>
        <w:tblCellMar>
          <w:left w:w="70" w:type="dxa"/>
          <w:right w:w="70" w:type="dxa"/>
        </w:tblCellMar>
        <w:tblLook w:val="04A0" w:firstRow="1" w:lastRow="0" w:firstColumn="1" w:lastColumn="0" w:noHBand="0" w:noVBand="1"/>
      </w:tblPr>
      <w:tblGrid>
        <w:gridCol w:w="2689"/>
        <w:gridCol w:w="1275"/>
        <w:gridCol w:w="1276"/>
        <w:gridCol w:w="1276"/>
        <w:gridCol w:w="1276"/>
        <w:gridCol w:w="992"/>
        <w:gridCol w:w="992"/>
      </w:tblGrid>
      <w:tr>
        <w:trPr>
          <w:trHeight w:val="552" w:hRule="atLeast"/>
          <w:tblHead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DEPENSES PAR ACTIVITES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UINITES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QUANTITE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CU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COUT TOTAL (F CFA)</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SOURCES DE FINANCEMENT</w:t>
            </w:r>
          </w:p>
        </w:tc>
      </w:tr>
      <w:tr>
        <w:tblPrEx/>
        <w:trPr>
          <w:trHeight w:val="552" w:hRule="atLeast"/>
          <w:tblHeader/>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PDIC/REDD+</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Bénéficiaires (mairie et populations)</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000000" w:fill="ffff00"/>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ESPACE DE CONSERVATION DE GONRE</w:t>
            </w:r>
          </w:p>
        </w:tc>
        <w:tc>
          <w:tcPr>
            <w:tcW w:w="1275"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 </w:t>
            </w:r>
          </w:p>
        </w:tc>
        <w:tc>
          <w:tcPr>
            <w:tcW w:w="1276"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 </w:t>
            </w:r>
          </w:p>
        </w:tc>
        <w:tc>
          <w:tcPr>
            <w:tcW w:w="1276"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p>
        </w:tc>
        <w:tc>
          <w:tcPr>
            <w:tcW w:w="1276"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p>
        </w:tc>
        <w:tc>
          <w:tcPr>
            <w:tcW w:w="992"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i/>
                <w:iCs/>
                <w:color w:val="000000"/>
                <w:sz w:val="18"/>
                <w:szCs w:val="18"/>
              </w:rPr>
            </w:pPr>
          </w:p>
        </w:tc>
        <w:tc>
          <w:tcPr>
            <w:tcW w:w="992"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i/>
                <w:iCs/>
                <w:color w:val="000000"/>
                <w:sz w:val="18"/>
                <w:szCs w:val="18"/>
              </w:rPr>
            </w:pPr>
          </w:p>
        </w:tc>
      </w:tr>
      <w:tr>
        <w:tblPrEx/>
        <w:trPr>
          <w:trHeight w:val="600" w:hRule="atLeast"/>
        </w:trPr>
        <w:tc>
          <w:tcPr>
            <w:tcW w:w="7792" w:type="dxa"/>
            <w:gridSpan w:val="5"/>
            <w:tcBorders>
              <w:top w:val="single" w:sz="4" w:space="0" w:color="auto"/>
              <w:left w:val="single" w:sz="4" w:space="0" w:color="auto"/>
              <w:bottom w:val="single" w:sz="4" w:space="0" w:color="auto"/>
              <w:right w:val="single" w:sz="4" w:space="0" w:color="auto"/>
            </w:tcBorders>
            <w:shd w:val="clear" w:color="000000" w:fill="00ffff"/>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1.     Activités directement liée à la réduction des émissions de gaz à effet de serre dans la forêt de Kaya</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color w:val="000000"/>
                <w:sz w:val="18"/>
                <w:szCs w:val="18"/>
              </w:rPr>
            </w:pPr>
            <w:r>
              <w:rPr>
                <w:rFonts w:ascii="Century Gothic" w:cs="Calibri" w:hAnsi="Century Gothic"/>
                <w:b/>
                <w:bCs/>
                <w:color w:val="000000"/>
                <w:sz w:val="18"/>
                <w:szCs w:val="18"/>
              </w:rPr>
              <w:t>Activité 4.1.2.1.1. Aménager et gérer durablement la forêt villageoise de Kaya (475 ha environ)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 xml:space="preserve">Sous-Activité 4.1.2.1.1.1. Appuyer la production des plants dans l’espace de conservation de Kaya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Formation des pépiniéristes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Acquisition du matériel de pépinière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Organisation de la production des plants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Campagne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Suivi de la production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Campagne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 xml:space="preserve">Sous-Activité 4.1.2.1.1.2. Réaliser des plantations </w:t>
            </w:r>
            <w:r>
              <w:rPr>
                <w:rFonts w:ascii="Century Gothic" w:cs="Calibri" w:hAnsi="Century Gothic"/>
                <w:b/>
                <w:bCs/>
                <w:i/>
                <w:iCs/>
                <w:color w:val="000000"/>
                <w:sz w:val="18"/>
                <w:szCs w:val="18"/>
              </w:rPr>
              <w:t>d’enrichissement/délimitation de la forêt de Kaya</w:t>
            </w:r>
          </w:p>
        </w:tc>
        <w:tc>
          <w:tcPr>
            <w:tcW w:w="1275"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8"/>
                <w:szCs w:val="18"/>
              </w:rPr>
            </w:pPr>
            <w:r>
              <w:rPr>
                <w:rFonts w:ascii="Century Gothic" w:cs="Calibri" w:hAnsi="Century Gothic"/>
                <w:sz w:val="18"/>
                <w:szCs w:val="18"/>
              </w:rPr>
              <w:t>Achat des plants pour la matérialisation des limites et l'enrichissement</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28 275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2 827 500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2 827 500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8"/>
                <w:szCs w:val="18"/>
              </w:rPr>
            </w:pPr>
            <w:r>
              <w:rPr>
                <w:rFonts w:ascii="Century Gothic" w:cs="Calibri" w:hAnsi="Century Gothic"/>
                <w:sz w:val="18"/>
                <w:szCs w:val="18"/>
              </w:rPr>
              <w:t xml:space="preserve">Trouaison, plantation et entretien des arbres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28 275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5 655 000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5 655 000</w:t>
            </w:r>
          </w:p>
        </w:tc>
      </w:tr>
      <w:tr>
        <w:tblPrEx/>
        <w:trPr>
          <w:trHeight w:val="828"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Sous-Activité 4.1.2.1.1.3.  Réaliser des plantations individuelles dans les villages riverains dans l’espace de conservation de Kaya (villages de Kaya Fabolo, Kaya Kafor et Kaya Navio)</w:t>
            </w:r>
          </w:p>
        </w:tc>
        <w:tc>
          <w:tcPr>
            <w:tcW w:w="1275"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8"/>
                <w:szCs w:val="18"/>
              </w:rPr>
            </w:pPr>
            <w:r>
              <w:rPr>
                <w:rFonts w:ascii="Century Gothic" w:cs="Calibri" w:hAnsi="Century Gothic"/>
                <w:sz w:val="18"/>
                <w:szCs w:val="18"/>
              </w:rPr>
              <w:t>Achat des plants pour les plantations individuelles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noWrap/>
            <w:vAlign w:val="bottom"/>
            <w:hideMark/>
          </w:tcPr>
          <w:p>
            <w:pPr>
              <w:pStyle w:val="style0"/>
              <w:jc w:val="right"/>
              <w:rPr>
                <w:rFonts w:ascii="Century Gothic" w:cs="Calibri" w:hAnsi="Century Gothic"/>
                <w:color w:val="000000"/>
                <w:sz w:val="18"/>
                <w:szCs w:val="18"/>
              </w:rPr>
            </w:pPr>
            <w:r>
              <w:rPr>
                <w:rFonts w:ascii="Century Gothic" w:cs="Calibri" w:hAnsi="Century Gothic"/>
                <w:color w:val="000000"/>
                <w:sz w:val="18"/>
                <w:szCs w:val="18"/>
              </w:rPr>
              <w:t>22 500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2 250 000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8"/>
                <w:szCs w:val="18"/>
              </w:rPr>
            </w:pPr>
            <w:r>
              <w:rPr>
                <w:rFonts w:ascii="Century Gothic" w:cs="Calibri" w:hAnsi="Century Gothic"/>
                <w:sz w:val="18"/>
                <w:szCs w:val="18"/>
              </w:rPr>
              <w:t xml:space="preserve">Trouaison, plantation et entretien des arbres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noWrap/>
            <w:vAlign w:val="bottom"/>
            <w:hideMark/>
          </w:tcPr>
          <w:p>
            <w:pPr>
              <w:pStyle w:val="style0"/>
              <w:jc w:val="right"/>
              <w:rPr>
                <w:rFonts w:ascii="Century Gothic" w:cs="Calibri" w:hAnsi="Century Gothic"/>
                <w:color w:val="000000"/>
                <w:sz w:val="18"/>
                <w:szCs w:val="18"/>
              </w:rPr>
            </w:pPr>
            <w:r>
              <w:rPr>
                <w:rFonts w:ascii="Century Gothic" w:cs="Calibri" w:hAnsi="Century Gothic"/>
                <w:color w:val="000000"/>
                <w:sz w:val="18"/>
                <w:szCs w:val="18"/>
              </w:rPr>
              <w:t>22 500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4 500 000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4 500 000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 xml:space="preserve">Sous-Activité 4.1.2.1.1.4. Mettre en place un comité villageois de gestion de la forêt villageoise de Kaya. </w:t>
            </w:r>
          </w:p>
        </w:tc>
        <w:tc>
          <w:tcPr>
            <w:tcW w:w="1275"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Organisation de séances d'information et de sensibilisation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Organiser de l’AG constitutive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Recherche de reconnaissance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828"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 xml:space="preserve">Sous-Activité 4.1.2.1.1.5. Former/ recycler 07 membres du comité de gestion / suivi de la charte sur leurs attributions dans l’espace de conservation de Kaya.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Honoraire formateur 1</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Honoraires formateur 2</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Location salle (2 jours)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Jr</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Matériel de formation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Restauration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Prise en charge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Suivi des formations par le service agriculture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bookmarkStart w:id="36" w:name="RANGE!A31"/>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Sous-Activité 4.1.2.1.1.6. Elaborer une charte foncière locale de la forêt de Kaya</w:t>
            </w:r>
            <w:bookmarkEnd w:id="36"/>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Honoraire de l'expert foncier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Frais de rafraîchissement des rencontres villageoises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Prise en charge des Services techniques et maire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828"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Sous-Activité 4.1.2.1.1.7. Appuyer le renouvellement et la formation des instances des commissions foncières villageoises,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Honoraire de l'agent domanial</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Prise en charge des Services techniques et maire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Frais de rafraîchissement des rencontres villageoises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Fournitures, photocopies et saisies des documents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Sous-Activité 4.1.2.1.1.8. Réaliser le bornage de la forêt villageoise de Kaya</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Confection des bornes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Fixation des bornes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310 000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310 000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828"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Sous-Activité 4.1.2.1.1.9. Confectionner et fixer cinq (5) panneaux d'information et de sensibilisation sur la forêt de Kaya</w:t>
            </w:r>
            <w:r>
              <w:rPr>
                <w:rFonts w:ascii="Century Gothic" w:cs="Calibri" w:hAnsi="Century Gothic"/>
                <w:b/>
                <w:bCs/>
                <w:color w:val="000000"/>
                <w:sz w:val="18"/>
                <w:szCs w:val="18"/>
              </w:rPr>
              <w:t xml:space="preserve">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Confection des panneaux</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Fixation des panneaux</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8"/>
                <w:szCs w:val="18"/>
              </w:rPr>
            </w:pPr>
            <w:r>
              <w:rPr>
                <w:rFonts w:ascii="Century Gothic" w:cs="Calibri" w:hAnsi="Century Gothic"/>
                <w:b/>
                <w:bCs/>
                <w:i/>
                <w:iCs/>
                <w:color w:val="000000"/>
                <w:sz w:val="18"/>
                <w:szCs w:val="18"/>
              </w:rPr>
              <w:t>Sous-total Résultat 1: séquestration du carbone Kaya</w:t>
            </w:r>
          </w:p>
        </w:tc>
        <w:tc>
          <w:tcPr>
            <w:tcW w:w="1275"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26 317 500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16 162 500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10 155 000</w:t>
            </w:r>
          </w:p>
        </w:tc>
      </w:tr>
      <w:tr>
        <w:tblPrEx/>
        <w:trPr>
          <w:trHeight w:val="552" w:hRule="atLeast"/>
        </w:trPr>
        <w:tc>
          <w:tcPr>
            <w:tcW w:w="7792" w:type="dxa"/>
            <w:gridSpan w:val="5"/>
            <w:tcBorders>
              <w:top w:val="single" w:sz="4" w:space="0" w:color="auto"/>
              <w:left w:val="single" w:sz="4" w:space="0" w:color="auto"/>
              <w:bottom w:val="single" w:sz="4" w:space="0" w:color="auto"/>
              <w:right w:val="single" w:sz="4" w:space="0" w:color="000000"/>
            </w:tcBorders>
            <w:shd w:val="clear" w:color="000000" w:fill="00ffff"/>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4.1.2.2 Activités induites d’amélioration des productivités et des revenus dans l’espace de conservation de Kaya</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r>
      <w:tr>
        <w:tblPrEx/>
        <w:trPr>
          <w:trHeight w:val="828"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color w:val="000000"/>
                <w:sz w:val="18"/>
                <w:szCs w:val="18"/>
              </w:rPr>
            </w:pPr>
            <w:r>
              <w:rPr>
                <w:rFonts w:ascii="Century Gothic" w:cs="Calibri" w:hAnsi="Century Gothic"/>
                <w:b/>
                <w:bCs/>
                <w:color w:val="000000"/>
                <w:sz w:val="18"/>
                <w:szCs w:val="18"/>
              </w:rPr>
              <w:t>Activité 4.1.2.2.1. Appuyer 150 producteurs à la production et à l’utilisation du compost dans l’espace de conservation de Kaya (villages de Kaya Fabolo, Kaya Kafor et Kaya Navio)</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Doter les producteurs en pelles pour la production de la fumure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450 000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450 000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Doter les producteurs en Burkina Phosphate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8 000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Mobilisation des agrégats (paille, résidus agricole, fumier)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Tas</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Frais de suivi et de supervision des services techniques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1104"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color w:val="000000"/>
                <w:sz w:val="18"/>
                <w:szCs w:val="18"/>
              </w:rPr>
            </w:pPr>
            <w:r>
              <w:rPr>
                <w:rFonts w:ascii="Century Gothic" w:cs="Calibri" w:hAnsi="Century Gothic"/>
                <w:b/>
                <w:bCs/>
                <w:color w:val="000000"/>
                <w:sz w:val="18"/>
                <w:szCs w:val="18"/>
              </w:rPr>
              <w:t>Activité 4.1.2.2.2. Appuyer 150 producteurs la fauche et conservation du fourrage naturel dans les villages riverains de l‘espace de conservation de Kaya (villages de Kaya Fabolo, Kaya Kafor et Kaya Navio)</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Matériel pour la fauche (botteleuses et faucilles)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Construction des fenils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7 500 000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Appui à la  construction fenils (appui avec 10 tôles chevrons/producteurs)</w:t>
            </w:r>
            <w:r>
              <w:rPr>
                <w:rFonts w:ascii="Century Gothic" w:cs="Calibri" w:hAnsi="Century Gothic"/>
                <w:color w:val="000000"/>
                <w:sz w:val="18"/>
                <w:szCs w:val="18"/>
              </w:rPr>
              <w:t xml:space="preserve"> </w:t>
            </w:r>
            <w:r>
              <w:rPr>
                <w:rFonts w:ascii="Century Gothic" w:cs="Calibri" w:hAnsi="Century Gothic"/>
                <w:color w:val="000000"/>
                <w:sz w:val="18"/>
                <w:szCs w:val="18"/>
              </w:rPr>
              <w:t>+ transport</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Frais suivi et de supervision des services techniques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828"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color w:val="000000"/>
                <w:sz w:val="18"/>
                <w:szCs w:val="18"/>
              </w:rPr>
            </w:pPr>
            <w:r>
              <w:rPr>
                <w:rFonts w:ascii="Century Gothic" w:cs="Calibri" w:hAnsi="Century Gothic"/>
                <w:b/>
                <w:bCs/>
                <w:color w:val="000000"/>
                <w:sz w:val="18"/>
                <w:szCs w:val="18"/>
              </w:rPr>
              <w:t>Activité 4.1.2.2.3. Appuyer l’apiculture moderne au profit de 20 jeunes et femmes dans l’espace de conservation de Kaya (village de Kaya Navio)</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Doter les apiculteurs en kits de matériels apicole (ruches, gants, abreuvoirs, etc</w:t>
            </w:r>
            <w:r>
              <w:rPr>
                <w:rFonts w:ascii="Century Gothic" w:cs="Calibri" w:hAnsi="Century Gothic"/>
                <w:i/>
                <w:iCs/>
                <w:color w:val="000000"/>
                <w:sz w:val="18"/>
                <w:szCs w:val="18"/>
              </w:rPr>
              <w:t>.</w:t>
            </w:r>
            <w:r>
              <w:rPr>
                <w:rFonts w:ascii="Century Gothic" w:cs="Calibri" w:hAnsi="Century Gothic"/>
                <w:i/>
                <w:iCs/>
                <w:color w:val="000000"/>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Frais de transport du matériel</w:t>
            </w:r>
            <w:r>
              <w:rPr>
                <w:rFonts w:ascii="Century Gothic" w:cs="Calibri" w:hAnsi="Century Gothic"/>
                <w:i/>
                <w:iCs/>
                <w:color w:val="000000"/>
                <w:sz w:val="18"/>
                <w:szCs w:val="18"/>
              </w:rPr>
              <w:t xml:space="preserve"> apicole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Suivi et appui conseil de l'expert en apiculture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1 125 000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1 125 000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828"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4.1.2.2.4. Mettre en place une unité  de transformation des PFNL dans l’espace de conservation de Kaya au profit de la SCOOP KOUDJIGUI-TINA</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Appui à l’obtention d’une attestation de Possession Foncière (APFR) du site pour la coopérative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1 500 000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Acquisition de plants et reboisement sous forme de haie,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800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240 000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240 000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Réalisation de haies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Construire d'une latrine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Clôture du site avec 400 m de grillage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1 500 000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Réalisation de planches de production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lot</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Réalisation d’un forage positif</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5 000 000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Equipement du forage d'un système de pompage avec module solaire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lot</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2 000 000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Réalisation de 5 bassins de stockages d'eau (10m²)</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lot</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Raccordement du forage aux bassins de stockage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lot</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8"/>
                <w:szCs w:val="18"/>
              </w:rPr>
            </w:pPr>
            <w:r>
              <w:rPr>
                <w:rFonts w:ascii="Century Gothic" w:cs="Calibri" w:hAnsi="Century Gothic"/>
                <w:b/>
                <w:bCs/>
                <w:i/>
                <w:iCs/>
                <w:color w:val="000000"/>
                <w:sz w:val="18"/>
                <w:szCs w:val="18"/>
              </w:rPr>
              <w:t>Sous-total Résultat 2:amélioration des revenus  Kaya</w:t>
            </w:r>
          </w:p>
        </w:tc>
        <w:tc>
          <w:tcPr>
            <w:tcW w:w="1275"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42 365 000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32 865 000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9 500 000</w:t>
            </w:r>
          </w:p>
        </w:tc>
      </w:tr>
      <w:tr>
        <w:tblPrEx/>
        <w:trPr>
          <w:trHeight w:val="624" w:hRule="atLeast"/>
        </w:trPr>
        <w:tc>
          <w:tcPr>
            <w:tcW w:w="7792" w:type="dxa"/>
            <w:gridSpan w:val="5"/>
            <w:tcBorders>
              <w:top w:val="single" w:sz="4" w:space="0" w:color="auto"/>
              <w:left w:val="single" w:sz="4" w:space="0" w:color="auto"/>
              <w:bottom w:val="single" w:sz="4" w:space="0" w:color="auto"/>
              <w:right w:val="single" w:sz="4" w:space="0" w:color="000000"/>
            </w:tcBorders>
            <w:shd w:val="clear" w:color="000000" w:fill="00ffff"/>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4.1.2.3. Activités de renforcement des capacités d’adaptation aux activités et responsabilités dans l’espace de conservation de Kaya</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p>
        </w:tc>
      </w:tr>
      <w:tr>
        <w:tblPrEx/>
        <w:trPr>
          <w:trHeight w:val="828"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4.1.2.3.1 : Former 50 élus locaux et leaders villageois de la commune de Tiébélé sur la gouvernance locale et en législations environnementales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Honoraire du formateur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Prise en charge des participants (50personnesX3jrs)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Restauration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450 000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Matériel et fournitures de formation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Location de salle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Jr</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r>
      <w:tr>
        <w:tblPrEx/>
        <w:trPr>
          <w:trHeight w:val="828"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4.1.2.3.2 : Organiser vingt (20) séances d'information et de sensibilisation sur la sécurisation foncière dans la commune de Tiébélé</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Prise en charge des animateurs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 xml:space="preserve">Frais de </w:t>
            </w:r>
            <w:r>
              <w:rPr>
                <w:rFonts w:ascii="Century Gothic" w:cs="Calibri" w:hAnsi="Century Gothic"/>
                <w:i/>
                <w:iCs/>
                <w:color w:val="000000"/>
                <w:sz w:val="18"/>
                <w:szCs w:val="18"/>
              </w:rPr>
              <w:t>rafraîchissement</w:t>
            </w:r>
            <w:r>
              <w:rPr>
                <w:rFonts w:ascii="Century Gothic" w:cs="Calibri" w:hAnsi="Century Gothic"/>
                <w:i/>
                <w:iCs/>
                <w:color w:val="000000"/>
                <w:sz w:val="18"/>
                <w:szCs w:val="18"/>
              </w:rPr>
              <w:t xml:space="preserve"> lors des rencontres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rencontre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1104"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4.1.2.3.3. Former 300 producteurs en technique de plantation et entretien des espèces végétales dans l’espace de conservation de Kaya (villages de Kaya Fabolo, Kaya Kafor et Kaya Navio)</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Honoraire du formateur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Restauration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600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1 800 000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1 800 000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Matériel et fournitures de formation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828"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 xml:space="preserve">Activité 4.1.2.3.4. Former 150 producteurs à la production et à l’utilisation du compost dans l’espace de conservation de Kaya (villages de Kaya Fabolo, Kaya Kafor et Kaya Navio)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Honoraire du formateur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Restauration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900 000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900 000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Matériel et fournitures de formation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1104"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4.1.2.3.5. Former 150 producteurs en technique de fauche et de conservation de fourrage naturel dans l’espace de conservation de Kaya  (villages de Kaya Fabolo, Kaya Kafor et Kaya Navio)</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Honoraire du formateur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350 000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Restauration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900 000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900 000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Matériel et fournitures de formation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4.1.2.3.6. Former 20 producteurs en techniques apicoles modernes dans l’espace de conservation de Kaya.</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Honoraire du formateur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Restauration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Matériel et fournitures de formation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1104" w:hRule="atLeast"/>
        </w:trPr>
        <w:tc>
          <w:tcPr>
            <w:tcW w:w="2689" w:type="dxa"/>
            <w:tcBorders>
              <w:top w:val="nil"/>
              <w:left w:val="single" w:sz="4" w:space="0" w:color="auto"/>
              <w:bottom w:val="single" w:sz="4" w:space="0" w:color="auto"/>
              <w:right w:val="single" w:sz="4" w:space="0" w:color="auto"/>
            </w:tcBorders>
            <w:shd w:val="clear" w:color="auto" w:fill="auto"/>
            <w:vAlign w:val="bottom"/>
            <w:hideMark/>
          </w:tcPr>
          <w:p>
            <w:pPr>
              <w:pStyle w:val="style0"/>
              <w:rPr>
                <w:rFonts w:ascii="Century Gothic" w:cs="Calibri" w:hAnsi="Century Gothic"/>
                <w:b/>
                <w:bCs/>
                <w:i/>
                <w:iCs/>
                <w:color w:val="000000"/>
                <w:sz w:val="18"/>
                <w:szCs w:val="18"/>
              </w:rPr>
            </w:pPr>
            <w:r>
              <w:rPr>
                <w:rFonts w:ascii="Century Gothic" w:cs="Calibri" w:hAnsi="Century Gothic"/>
                <w:b/>
                <w:bCs/>
                <w:i/>
                <w:iCs/>
                <w:color w:val="000000"/>
                <w:sz w:val="18"/>
                <w:szCs w:val="18"/>
              </w:rPr>
              <w:t xml:space="preserve">Activité 4.1.2.3.7. Former 50 membres de l’union des SCOOP KOUDJIGUI-TINA de Tiébélé en techniques de production, de transformation et de commercialisation des PFNL dans l’espace de conservation de Kaya.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Honoraire du formateur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Restauration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250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Matériel et fournitures de formation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8"/>
                <w:szCs w:val="18"/>
              </w:rPr>
            </w:pPr>
            <w:r>
              <w:rPr>
                <w:rFonts w:ascii="Century Gothic" w:cs="Calibri" w:hAnsi="Century Gothic"/>
                <w:b/>
                <w:bCs/>
                <w:i/>
                <w:iCs/>
                <w:color w:val="000000"/>
                <w:sz w:val="18"/>
                <w:szCs w:val="18"/>
              </w:rPr>
              <w:t>Sous total Capacité Kaya</w:t>
            </w:r>
          </w:p>
        </w:tc>
        <w:tc>
          <w:tcPr>
            <w:tcW w:w="1275"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12 175 000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12 025 000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150 000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000000" w:fill="bdd7ee"/>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TOTAL ESPACE DE CONSERVATION DE KAYA</w:t>
            </w:r>
          </w:p>
        </w:tc>
        <w:tc>
          <w:tcPr>
            <w:tcW w:w="1275"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80 857 500</w:t>
            </w:r>
          </w:p>
        </w:tc>
        <w:tc>
          <w:tcPr>
            <w:tcW w:w="992"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61 052 500</w:t>
            </w:r>
          </w:p>
        </w:tc>
        <w:tc>
          <w:tcPr>
            <w:tcW w:w="992"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19 805 000</w:t>
            </w:r>
          </w:p>
        </w:tc>
      </w:tr>
      <w:tr>
        <w:tblPrEx/>
        <w:trPr>
          <w:trHeight w:val="600" w:hRule="atLeast"/>
        </w:trPr>
        <w:tc>
          <w:tcPr>
            <w:tcW w:w="2689" w:type="dxa"/>
            <w:tcBorders>
              <w:top w:val="nil"/>
              <w:left w:val="single" w:sz="4" w:space="0" w:color="auto"/>
              <w:bottom w:val="single" w:sz="4" w:space="0" w:color="auto"/>
              <w:right w:val="single" w:sz="4" w:space="0" w:color="auto"/>
            </w:tcBorders>
            <w:shd w:val="clear" w:color="000000" w:fill="ffff00"/>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4.2. Espace de conservation  Tangassogo</w:t>
            </w:r>
          </w:p>
        </w:tc>
        <w:tc>
          <w:tcPr>
            <w:tcW w:w="1275"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 </w:t>
            </w:r>
          </w:p>
        </w:tc>
        <w:tc>
          <w:tcPr>
            <w:tcW w:w="1276"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 </w:t>
            </w:r>
          </w:p>
        </w:tc>
        <w:tc>
          <w:tcPr>
            <w:tcW w:w="1276"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p>
        </w:tc>
        <w:tc>
          <w:tcPr>
            <w:tcW w:w="1276"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p>
        </w:tc>
        <w:tc>
          <w:tcPr>
            <w:tcW w:w="992"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i/>
                <w:iCs/>
                <w:color w:val="000000"/>
                <w:sz w:val="18"/>
                <w:szCs w:val="18"/>
              </w:rPr>
            </w:pPr>
          </w:p>
        </w:tc>
        <w:tc>
          <w:tcPr>
            <w:tcW w:w="992"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i/>
                <w:iCs/>
                <w:color w:val="000000"/>
                <w:sz w:val="18"/>
                <w:szCs w:val="18"/>
              </w:rPr>
            </w:pPr>
          </w:p>
        </w:tc>
      </w:tr>
      <w:tr>
        <w:tblPrEx/>
        <w:trPr>
          <w:trHeight w:val="504" w:hRule="atLeast"/>
        </w:trPr>
        <w:tc>
          <w:tcPr>
            <w:tcW w:w="7792" w:type="dxa"/>
            <w:gridSpan w:val="5"/>
            <w:tcBorders>
              <w:top w:val="single" w:sz="4" w:space="0" w:color="auto"/>
              <w:left w:val="single" w:sz="4" w:space="0" w:color="auto"/>
              <w:bottom w:val="single" w:sz="4" w:space="0" w:color="auto"/>
              <w:right w:val="single" w:sz="4" w:space="0" w:color="auto"/>
            </w:tcBorders>
            <w:shd w:val="clear" w:color="000000" w:fill="00ffff"/>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1.     Activités directement liées à la réduction des émissions de gaz à effet de serre dans l'espace de conservation de Tangassogo</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4.2.2.1.1. Aménager et gérer durablement la forêt Tangassogo (15,86 Hectares)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Sous-Activité 4.2.2.1.1.1. Réaliser des plantations d’enrichissement/délimitation de la forêt de Tangassogo</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8"/>
                <w:szCs w:val="18"/>
              </w:rPr>
            </w:pPr>
            <w:r>
              <w:rPr>
                <w:rFonts w:ascii="Century Gothic" w:cs="Calibri" w:hAnsi="Century Gothic"/>
                <w:sz w:val="18"/>
                <w:szCs w:val="18"/>
              </w:rPr>
              <w:t>Achat des plants pour la matérialisation des limites et l'enrichissement</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12 525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1 252 500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1 252 500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8"/>
                <w:szCs w:val="18"/>
              </w:rPr>
            </w:pPr>
            <w:r>
              <w:rPr>
                <w:rFonts w:ascii="Century Gothic" w:cs="Calibri" w:hAnsi="Century Gothic"/>
                <w:sz w:val="18"/>
                <w:szCs w:val="18"/>
              </w:rPr>
              <w:t xml:space="preserve">Trouaison, plantation et entretien des arbres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12 525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2 505 000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2 505 000</w:t>
            </w:r>
          </w:p>
        </w:tc>
      </w:tr>
      <w:tr>
        <w:tblPrEx/>
        <w:trPr>
          <w:trHeight w:val="1104"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Sous-Activité 4.2.2.1.1.2.  Réaliser des plantations individuelles dans les villages riverains dans l’espace de conservation Tangassogo (villages Ouédiabié-Tangassogo et Ourobié-Tangassogo).</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6" w:type="dxa"/>
            <w:tcBorders>
              <w:top w:val="nil"/>
              <w:left w:val="nil"/>
              <w:bottom w:val="single" w:sz="4" w:space="0" w:color="auto"/>
              <w:right w:val="single" w:sz="4" w:space="0" w:color="auto"/>
            </w:tcBorders>
            <w:shd w:val="clear" w:color="000000" w:fill="ffffff"/>
            <w:vAlign w:val="center"/>
            <w:hideMark/>
          </w:tcPr>
          <w:p>
            <w:pPr>
              <w:pStyle w:val="style0"/>
              <w:jc w:val="center"/>
              <w:rPr>
                <w:rFonts w:ascii="Century Gothic" w:cs="Calibri" w:hAnsi="Century Gothic"/>
                <w:i/>
                <w:iCs/>
                <w:sz w:val="18"/>
                <w:szCs w:val="18"/>
              </w:rPr>
            </w:pPr>
            <w:r>
              <w:rPr>
                <w:rFonts w:ascii="Century Gothic" w:cs="Calibri" w:hAnsi="Century Gothic"/>
                <w:i/>
                <w:iCs/>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8"/>
                <w:szCs w:val="18"/>
              </w:rPr>
            </w:pPr>
            <w:r>
              <w:rPr>
                <w:rFonts w:ascii="Century Gothic" w:cs="Calibri" w:hAnsi="Century Gothic"/>
                <w:sz w:val="18"/>
                <w:szCs w:val="18"/>
              </w:rPr>
              <w:t>Achat des plants pour les plantation</w:t>
            </w:r>
            <w:r>
              <w:rPr>
                <w:rFonts w:ascii="Century Gothic" w:cs="Calibri" w:hAnsi="Century Gothic"/>
                <w:sz w:val="18"/>
                <w:szCs w:val="18"/>
              </w:rPr>
              <w:t>s</w:t>
            </w:r>
            <w:r>
              <w:rPr>
                <w:rFonts w:ascii="Century Gothic" w:cs="Calibri" w:hAnsi="Century Gothic"/>
                <w:sz w:val="18"/>
                <w:szCs w:val="18"/>
              </w:rPr>
              <w:t xml:space="preserve"> individuelles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sz w:val="18"/>
                <w:szCs w:val="18"/>
              </w:rPr>
            </w:pPr>
            <w:r>
              <w:rPr>
                <w:rFonts w:ascii="Century Gothic" w:cs="Calibri" w:hAnsi="Century Gothic"/>
                <w:sz w:val="18"/>
                <w:szCs w:val="18"/>
              </w:rPr>
              <w:t xml:space="preserve">Trouaison, plantation et entretien des arbres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3 000 000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 xml:space="preserve">Sous-Activité 4.2.2.1.1.3. Mettre en place un comité villageois de gestion dans l’espace de conservation Tangassogo.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Organisation de séances d'information et de sensibilisation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Organiser de l’AG constitutive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Recherche de reconnaissance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828"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 xml:space="preserve">Sous-Activité 4.2.2.1.1.4. Former/ recycler 07 membres du comité de gestion / suivi de la charte sur leurs attributions dans l’espace de conservation Tangassogo.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Honoraire formateur 1</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Honoraires</w:t>
            </w:r>
            <w:r>
              <w:rPr>
                <w:rFonts w:ascii="Century Gothic" w:cs="Calibri" w:hAnsi="Century Gothic"/>
                <w:color w:val="000000"/>
                <w:sz w:val="18"/>
                <w:szCs w:val="18"/>
              </w:rPr>
              <w:t xml:space="preserve"> formateur 2</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Location salle (2 jours)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Jr</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Matériel de formation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Restauration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Prise en charge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Suivi des formations par le service agriculture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Sous-Activité 4.2.2.1.1.5. Elaborer une charte locale de gestion foncière de la forêt de Tangassogo</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Honoraire de l'expert foncier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xml:space="preserve">Frais de </w:t>
            </w:r>
            <w:r>
              <w:rPr>
                <w:rFonts w:ascii="Century Gothic" w:cs="Calibri" w:hAnsi="Century Gothic"/>
                <w:color w:val="000000"/>
                <w:sz w:val="18"/>
                <w:szCs w:val="18"/>
              </w:rPr>
              <w:t>rafraîchissement</w:t>
            </w:r>
            <w:r>
              <w:rPr>
                <w:rFonts w:ascii="Century Gothic" w:cs="Calibri" w:hAnsi="Century Gothic"/>
                <w:color w:val="000000"/>
                <w:sz w:val="18"/>
                <w:szCs w:val="18"/>
              </w:rPr>
              <w:t xml:space="preserve"> des rencontres villageoise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Prise en charge des Services techniques et maire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Session du conseil municipal pour adoption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250000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Sous-Activité 4.2.2.1.1.6. Réaliser le bornage de la forêt communale de Tangassogo</w:t>
            </w:r>
          </w:p>
        </w:tc>
        <w:tc>
          <w:tcPr>
            <w:tcW w:w="1275"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Confection des bornes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18</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450 000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Fixation des bornes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18</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180 000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180 000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828"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Sous-Activité 4.2.2.1.1.7. Confectionner et fixer cinq (5) de panneaux d'information et de sensibilisation sur la forêt de Tangassogo</w:t>
            </w:r>
          </w:p>
        </w:tc>
        <w:tc>
          <w:tcPr>
            <w:tcW w:w="1275"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Confection des panneaux</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Fixation des panneaux</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8"/>
                <w:szCs w:val="18"/>
              </w:rPr>
            </w:pPr>
            <w:r>
              <w:rPr>
                <w:rFonts w:ascii="Century Gothic" w:cs="Calibri" w:hAnsi="Century Gothic"/>
                <w:b/>
                <w:bCs/>
                <w:i/>
                <w:iCs/>
                <w:color w:val="000000"/>
                <w:sz w:val="18"/>
                <w:szCs w:val="18"/>
              </w:rPr>
              <w:t>Sous-total Résultat 1: séquestration du carbone Tangassogo</w:t>
            </w:r>
          </w:p>
        </w:tc>
        <w:tc>
          <w:tcPr>
            <w:tcW w:w="1275" w:type="dxa"/>
            <w:tcBorders>
              <w:top w:val="nil"/>
              <w:left w:val="nil"/>
              <w:bottom w:val="single" w:sz="4" w:space="0" w:color="auto"/>
              <w:right w:val="single" w:sz="4" w:space="0" w:color="auto"/>
            </w:tcBorders>
            <w:shd w:val="clear" w:color="000000" w:fill="d9d9d9"/>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14 187 500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8 432 500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5 755 000</w:t>
            </w:r>
          </w:p>
        </w:tc>
      </w:tr>
      <w:tr>
        <w:tblPrEx/>
        <w:trPr>
          <w:trHeight w:val="276" w:hRule="atLeast"/>
        </w:trPr>
        <w:tc>
          <w:tcPr>
            <w:tcW w:w="7792" w:type="dxa"/>
            <w:gridSpan w:val="5"/>
            <w:tcBorders>
              <w:top w:val="single" w:sz="4" w:space="0" w:color="auto"/>
              <w:left w:val="single" w:sz="4" w:space="0" w:color="auto"/>
              <w:bottom w:val="single" w:sz="4" w:space="0" w:color="auto"/>
              <w:right w:val="single" w:sz="4" w:space="0" w:color="000000"/>
            </w:tcBorders>
            <w:shd w:val="clear" w:color="000000" w:fill="00ffff"/>
            <w:noWrap/>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4.2.2.2 Activités induites d’amélioration des productivités et des revenus dans l’espace de conservation de Tangassogo</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1104"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4.2.2.2.1. Appuyer 100 producteurs à la production et à l’utilisation du compost dans l’espace de conservation de Tangassogo ((villages Ouédiabié-Tangassogo et Ourobié-Tangassogo)</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Doter les producteurs en pelles pour la production de la fumure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Doter les producteurs en Burkina Phosphate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8 000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800 000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800 000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Mobilisation des agrégats (paille, résidus agricole, fumier)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Tas</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Frais de suivi et de supervision des services techniques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1104"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4.2.2.2.2. Appuyer 100 producteurs la fauche et conservation du fourrage naturel dans les villages riverains de l‘espace de conservation Tangassogo (villages Ouédiabié-Tangassogo et Ourobié-Tangassogo)</w:t>
            </w:r>
          </w:p>
        </w:tc>
        <w:tc>
          <w:tcPr>
            <w:tcW w:w="1275"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Matériel pour la fauche (botteleuses et faucilles)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Construction des fenils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Appui à la  construction fenils (appui avec 10 tôles chevrons/producteurs)</w:t>
            </w:r>
            <w:r>
              <w:rPr>
                <w:rFonts w:ascii="Century Gothic" w:cs="Calibri" w:hAnsi="Century Gothic"/>
                <w:color w:val="000000"/>
                <w:sz w:val="18"/>
                <w:szCs w:val="18"/>
              </w:rPr>
              <w:t xml:space="preserve"> </w:t>
            </w:r>
            <w:r>
              <w:rPr>
                <w:rFonts w:ascii="Century Gothic" w:cs="Calibri" w:hAnsi="Century Gothic"/>
                <w:color w:val="000000"/>
                <w:sz w:val="18"/>
                <w:szCs w:val="18"/>
              </w:rPr>
              <w:t>+ transport</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Frais suivi et de supervision des services techniques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375 000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1104"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4.2.2.2.3. Appuyer l’apiculture moderne au profit de 40 jeunes et femmes dans l’espace de conservation de Tangassogo (villages Ouédiabié-Tangassogo et Ourobié-Tangassogo)</w:t>
            </w:r>
          </w:p>
        </w:tc>
        <w:tc>
          <w:tcPr>
            <w:tcW w:w="1275"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Doter les apiculteurs en kits de matériels apicole (ruches, gants, abreuvoirs, etc</w:t>
            </w:r>
            <w:r>
              <w:rPr>
                <w:rFonts w:ascii="Century Gothic" w:cs="Calibri" w:hAnsi="Century Gothic"/>
                <w:i/>
                <w:iCs/>
                <w:color w:val="000000"/>
                <w:sz w:val="18"/>
                <w:szCs w:val="18"/>
              </w:rPr>
              <w:t>.</w:t>
            </w:r>
            <w:r>
              <w:rPr>
                <w:rFonts w:ascii="Century Gothic" w:cs="Calibri" w:hAnsi="Century Gothic"/>
                <w:i/>
                <w:iCs/>
                <w:color w:val="000000"/>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40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Frais de transport du matériel</w:t>
            </w:r>
            <w:r>
              <w:rPr>
                <w:rFonts w:ascii="Century Gothic" w:cs="Calibri" w:hAnsi="Century Gothic"/>
                <w:i/>
                <w:iCs/>
                <w:color w:val="000000"/>
                <w:sz w:val="18"/>
                <w:szCs w:val="18"/>
              </w:rPr>
              <w:t xml:space="preserve"> apicole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Suivi et appui conseil de l'expert en apiculture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828"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 xml:space="preserve">Activité 4.1.2.2.4. Mettre en place une unité  de transformation des PFNL dans l’espace de conservation de Tangassogo au profit de l’union des SCOOP KOUDJIGUI-TINA.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Appui à l’obtention d’une attestation de Possession Foncière (APFR) du site pour la coopérative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1 500 000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Acquisition de plants et reboisement sous forme de haie,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800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240 000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240 000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Réalisation de haies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Construire d'une latrine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Clôture du site avec 400 m de grillage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1 500 000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Réalisation de planches de production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lot</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Réalisation d’un forage positif</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5 000 000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Equipement du forage d'un système de pompage avec module solaire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lot</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2 000 000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Réalisation de 5 bassins de stockages d'eau (10m²)</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lot</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Raccordement du forage aux bassins de stockage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lot</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8"/>
                <w:szCs w:val="18"/>
              </w:rPr>
            </w:pPr>
            <w:r>
              <w:rPr>
                <w:rFonts w:ascii="Century Gothic" w:cs="Calibri" w:hAnsi="Century Gothic"/>
                <w:b/>
                <w:bCs/>
                <w:i/>
                <w:iCs/>
                <w:color w:val="000000"/>
                <w:sz w:val="18"/>
                <w:szCs w:val="18"/>
              </w:rPr>
              <w:t>Sous-total Résultat 2:amélioration des revenus  Tangassogo</w:t>
            </w:r>
          </w:p>
        </w:tc>
        <w:tc>
          <w:tcPr>
            <w:tcW w:w="1275"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35 790 000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35 290 000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500 000</w:t>
            </w:r>
          </w:p>
        </w:tc>
      </w:tr>
      <w:tr>
        <w:tblPrEx/>
        <w:trPr>
          <w:trHeight w:val="648" w:hRule="atLeast"/>
        </w:trPr>
        <w:tc>
          <w:tcPr>
            <w:tcW w:w="7792" w:type="dxa"/>
            <w:gridSpan w:val="5"/>
            <w:tcBorders>
              <w:top w:val="single" w:sz="4" w:space="0" w:color="auto"/>
              <w:left w:val="single" w:sz="4" w:space="0" w:color="auto"/>
              <w:bottom w:val="single" w:sz="4" w:space="0" w:color="auto"/>
              <w:right w:val="single" w:sz="4" w:space="0" w:color="000000"/>
            </w:tcBorders>
            <w:shd w:val="clear" w:color="000000" w:fill="00ffff"/>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4.2.2.3. Activités de renforcement des capacités d’adaptation aux activités et responsabilités dans l’espace de conservation de Tangassogo</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i/>
                <w:iCs/>
                <w:color w:val="000000"/>
                <w:sz w:val="18"/>
                <w:szCs w:val="18"/>
              </w:rPr>
            </w:pP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p>
        </w:tc>
      </w:tr>
      <w:tr>
        <w:tblPrEx/>
        <w:trPr>
          <w:trHeight w:val="1104"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4.2.2.3.1. Former 200 producteurs en technique de plantation et entretien des espèces végétales dans l’espace de conservation de Tangassogo (villages Ouédiabié-Tangassogo et Ourobié-Tangassogo)</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Honoraire du formateur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Restauration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Matériel et fournitures de formation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1104"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4.2.2.3.2. Former 100 producteurs à la production et à l’utilisation du compost dans l’espace de conservation de Tangassogo (villages Ouédiabié-Tangassogo et Ourobié-Tangassogo)</w:t>
            </w:r>
          </w:p>
        </w:tc>
        <w:tc>
          <w:tcPr>
            <w:tcW w:w="1275"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Honoraire du formateur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Restauration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600 000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600 000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Matériel et fournitures de formation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1104"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4.2.2.3.3. Former 100 producteurs en technique de fauche et de conservation de fourrage naturel dans l’espace de conservation de Tangassogo (villages Ouédiabié-Tangassogo et Ourobié-Tangassogo)</w:t>
            </w:r>
          </w:p>
        </w:tc>
        <w:tc>
          <w:tcPr>
            <w:tcW w:w="1275"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noWrap/>
            <w:vAlign w:val="bottom"/>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Honoraire du formateur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Restauration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600 000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600 000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Matériel et fournitures de formation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828"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4.2.2.3.4. Former 40 producteurs en techniques apicoles modernes dans l’espace de conservation de Tangassogo.</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Honoraire du formateur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Restauration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600 000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600 000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Matériel et fournitures de formation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1104"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 xml:space="preserve">Activité 4.1.2.3.5. Former 50 membres de l’union des SCOOP KOUDJIGUI-TINA de Tiébélé en techniques de production, de transformation et de commercialisation des PFNL dans l’espace de conservation de Tangassogo. </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Honoraire du formateur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Restauration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60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180 000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180 000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Matériel et fournitures de formation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000000" w:fill="d9d9d9"/>
            <w:vAlign w:val="center"/>
            <w:hideMark/>
          </w:tcPr>
          <w:p>
            <w:pPr>
              <w:pStyle w:val="style0"/>
              <w:rPr>
                <w:rFonts w:ascii="Century Gothic" w:cs="Calibri" w:hAnsi="Century Gothic"/>
                <w:b/>
                <w:bCs/>
                <w:i/>
                <w:iCs/>
                <w:color w:val="000000"/>
                <w:sz w:val="18"/>
                <w:szCs w:val="18"/>
              </w:rPr>
            </w:pPr>
            <w:r>
              <w:rPr>
                <w:rFonts w:ascii="Century Gothic" w:cs="Calibri" w:hAnsi="Century Gothic"/>
                <w:b/>
                <w:bCs/>
                <w:i/>
                <w:iCs/>
                <w:color w:val="000000"/>
                <w:sz w:val="18"/>
                <w:szCs w:val="18"/>
              </w:rPr>
              <w:t>Sous total Capacité Tangassogo</w:t>
            </w:r>
          </w:p>
        </w:tc>
        <w:tc>
          <w:tcPr>
            <w:tcW w:w="1275"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6 280 000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6 280 000</w:t>
            </w:r>
          </w:p>
        </w:tc>
        <w:tc>
          <w:tcPr>
            <w:tcW w:w="992"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000000" w:fill="bdd7ee"/>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TOTAL ESPACE DE CONSERVATION DE TANGASSOGO</w:t>
            </w:r>
          </w:p>
        </w:tc>
        <w:tc>
          <w:tcPr>
            <w:tcW w:w="1275"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56 257 500</w:t>
            </w:r>
          </w:p>
        </w:tc>
        <w:tc>
          <w:tcPr>
            <w:tcW w:w="992"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50 002 500</w:t>
            </w:r>
          </w:p>
        </w:tc>
        <w:tc>
          <w:tcPr>
            <w:tcW w:w="992"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6 255 000</w:t>
            </w:r>
          </w:p>
        </w:tc>
      </w:tr>
      <w:bookmarkStart w:id="37" w:name="RANGE!A194"/>
      <w:tr>
        <w:tblPrEx/>
        <w:trPr>
          <w:trHeight w:val="276" w:hRule="atLeast"/>
        </w:trPr>
        <w:tc>
          <w:tcPr>
            <w:tcW w:w="2689" w:type="dxa"/>
            <w:tcBorders>
              <w:top w:val="nil"/>
              <w:left w:val="single" w:sz="4" w:space="0" w:color="auto"/>
              <w:bottom w:val="single" w:sz="4" w:space="0" w:color="auto"/>
              <w:right w:val="single" w:sz="4" w:space="0" w:color="auto"/>
            </w:tcBorders>
            <w:shd w:val="clear" w:color="000000" w:fill="ffff00"/>
            <w:noWrap/>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4.4. Le suivi évaluation et la capitalisation du PDIC</w:t>
            </w:r>
            <w:bookmarkEnd w:id="37"/>
          </w:p>
        </w:tc>
        <w:tc>
          <w:tcPr>
            <w:tcW w:w="1275"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000000" w:fill="ffff00"/>
            <w:noWrap/>
            <w:vAlign w:val="center"/>
            <w:hideMark/>
          </w:tcPr>
          <w:p>
            <w:pPr>
              <w:pStyle w:val="style0"/>
              <w:jc w:val="center"/>
              <w:rPr>
                <w:rFonts w:ascii="Century Gothic" w:cs="Calibri" w:hAnsi="Century Gothic"/>
                <w:color w:val="000000"/>
                <w:sz w:val="18"/>
                <w:szCs w:val="18"/>
              </w:rPr>
            </w:pP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4.4.1 Organiser l’atelier de lancement du PDIC/REDD+ de Tiébélé</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Prise en charge des participants (50personnesX1jr)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Restauration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Matériel et fournitures de formation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Location de salle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Jr</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4.4.2 Suivre la mise en œuvre du PDIC/REDD+ de Tiébélé</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Prise en charge de membres de la commission communale (30personnesX2jrs/anx5ans)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Restauration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900 000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900 000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Location de salle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Jr</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4.4.3. Mettre en œuvre des mesures de sauvegarde environnementales et sociales du PDIC/REDD+ de Tiébélé</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Prise en charge chargé des sauvegardes environnementales et sociales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xml:space="preserve">mois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60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3 000 000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3 000 000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Formation sur les sauvegardes environnementales et sociales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750 000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Moto déplacement du responsable sauvegardes environnementales et sociales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800 000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800 000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800 000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Fonctionnement moto</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xml:space="preserve">mois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60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1 200 000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1 200 000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552"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 4.4.4 Organiser l’atelier de capitalisation du PDIC/REDD+ de Tiébélé</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Prise en charge des participants (50personnesX1jr)</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H/J</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Restauration des participants</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Nombre</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Matériel et fournitures de formation</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FF</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25 000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Location de salle</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Jr</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50 000</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i/>
                <w:iCs/>
                <w:color w:val="000000"/>
                <w:sz w:val="18"/>
                <w:szCs w:val="18"/>
              </w:rPr>
            </w:pPr>
            <w:r>
              <w:rPr>
                <w:rFonts w:ascii="Century Gothic" w:cs="Calibri" w:hAnsi="Century Gothic"/>
                <w:i/>
                <w:iCs/>
                <w:color w:val="000000"/>
                <w:sz w:val="18"/>
                <w:szCs w:val="18"/>
              </w:rPr>
              <w:t>150 000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150 000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000000" w:fill="bdd7ee"/>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TOTALSUIVI EVALUATION PDIC/TIEBELE</w:t>
            </w:r>
          </w:p>
        </w:tc>
        <w:tc>
          <w:tcPr>
            <w:tcW w:w="1275"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9 800 000</w:t>
            </w:r>
          </w:p>
        </w:tc>
        <w:tc>
          <w:tcPr>
            <w:tcW w:w="992"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9 000 000</w:t>
            </w:r>
          </w:p>
        </w:tc>
        <w:tc>
          <w:tcPr>
            <w:tcW w:w="992" w:type="dxa"/>
            <w:tcBorders>
              <w:top w:val="nil"/>
              <w:left w:val="nil"/>
              <w:bottom w:val="single" w:sz="4" w:space="0" w:color="auto"/>
              <w:right w:val="single" w:sz="4" w:space="0" w:color="auto"/>
            </w:tcBorders>
            <w:shd w:val="clear" w:color="000000" w:fill="bdd7ee"/>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800 000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000000" w:fill="00ff00"/>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TOTALPARTIEL PDIC/TIEBELE</w:t>
            </w:r>
          </w:p>
        </w:tc>
        <w:tc>
          <w:tcPr>
            <w:tcW w:w="1275" w:type="dxa"/>
            <w:tcBorders>
              <w:top w:val="nil"/>
              <w:left w:val="nil"/>
              <w:bottom w:val="single" w:sz="4" w:space="0" w:color="auto"/>
              <w:right w:val="single" w:sz="4" w:space="0" w:color="auto"/>
            </w:tcBorders>
            <w:shd w:val="clear" w:color="000000" w:fill="00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 </w:t>
            </w:r>
          </w:p>
        </w:tc>
        <w:tc>
          <w:tcPr>
            <w:tcW w:w="1276" w:type="dxa"/>
            <w:tcBorders>
              <w:top w:val="nil"/>
              <w:left w:val="nil"/>
              <w:bottom w:val="single" w:sz="4" w:space="0" w:color="auto"/>
              <w:right w:val="single" w:sz="4" w:space="0" w:color="auto"/>
            </w:tcBorders>
            <w:shd w:val="clear" w:color="000000" w:fill="00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 </w:t>
            </w:r>
          </w:p>
        </w:tc>
        <w:tc>
          <w:tcPr>
            <w:tcW w:w="1276" w:type="dxa"/>
            <w:tcBorders>
              <w:top w:val="nil"/>
              <w:left w:val="nil"/>
              <w:bottom w:val="single" w:sz="4" w:space="0" w:color="auto"/>
              <w:right w:val="single" w:sz="4" w:space="0" w:color="auto"/>
            </w:tcBorders>
            <w:shd w:val="clear" w:color="000000" w:fill="00ff00"/>
            <w:vAlign w:val="center"/>
            <w:hideMark/>
          </w:tcPr>
          <w:p>
            <w:pPr>
              <w:pStyle w:val="style0"/>
              <w:jc w:val="center"/>
              <w:rPr>
                <w:rFonts w:ascii="Century Gothic" w:cs="Calibri" w:hAnsi="Century Gothic"/>
                <w:b/>
                <w:bCs/>
                <w:color w:val="000000"/>
                <w:sz w:val="18"/>
                <w:szCs w:val="18"/>
              </w:rPr>
            </w:pPr>
          </w:p>
        </w:tc>
        <w:tc>
          <w:tcPr>
            <w:tcW w:w="1276" w:type="dxa"/>
            <w:tcBorders>
              <w:top w:val="nil"/>
              <w:left w:val="nil"/>
              <w:bottom w:val="single" w:sz="4" w:space="0" w:color="auto"/>
              <w:right w:val="single" w:sz="4" w:space="0" w:color="auto"/>
            </w:tcBorders>
            <w:shd w:val="clear" w:color="000000" w:fill="00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146 915 000</w:t>
            </w:r>
          </w:p>
        </w:tc>
        <w:tc>
          <w:tcPr>
            <w:tcW w:w="992" w:type="dxa"/>
            <w:tcBorders>
              <w:top w:val="nil"/>
              <w:left w:val="nil"/>
              <w:bottom w:val="single" w:sz="4" w:space="0" w:color="auto"/>
              <w:right w:val="single" w:sz="4" w:space="0" w:color="auto"/>
            </w:tcBorders>
            <w:shd w:val="clear" w:color="000000" w:fill="00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120 055 000</w:t>
            </w:r>
          </w:p>
        </w:tc>
        <w:tc>
          <w:tcPr>
            <w:tcW w:w="992" w:type="dxa"/>
            <w:tcBorders>
              <w:top w:val="nil"/>
              <w:left w:val="nil"/>
              <w:bottom w:val="single" w:sz="4" w:space="0" w:color="auto"/>
              <w:right w:val="single" w:sz="4" w:space="0" w:color="auto"/>
            </w:tcBorders>
            <w:shd w:val="clear" w:color="000000" w:fill="00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26 860 000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Frais de gestion du projet (15%)</w:t>
            </w:r>
          </w:p>
        </w:tc>
        <w:tc>
          <w:tcPr>
            <w:tcW w:w="127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276"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22 037 250</w:t>
            </w:r>
          </w:p>
        </w:tc>
        <w:tc>
          <w:tcPr>
            <w:tcW w:w="992"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22 037 250</w:t>
            </w:r>
          </w:p>
        </w:tc>
        <w:tc>
          <w:tcPr>
            <w:tcW w:w="992"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0</w:t>
            </w:r>
          </w:p>
        </w:tc>
      </w:tr>
      <w:tr>
        <w:tblPrEx/>
        <w:trPr>
          <w:trHeight w:val="276" w:hRule="atLeast"/>
        </w:trPr>
        <w:tc>
          <w:tcPr>
            <w:tcW w:w="2689" w:type="dxa"/>
            <w:tcBorders>
              <w:top w:val="nil"/>
              <w:left w:val="single" w:sz="4" w:space="0" w:color="auto"/>
              <w:bottom w:val="single" w:sz="4" w:space="0" w:color="auto"/>
              <w:right w:val="single" w:sz="4" w:space="0" w:color="auto"/>
            </w:tcBorders>
            <w:shd w:val="clear" w:color="000000" w:fill="ffff00"/>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TOTALPARTIEL PDIC/TIEBELE</w:t>
            </w:r>
          </w:p>
        </w:tc>
        <w:tc>
          <w:tcPr>
            <w:tcW w:w="1275"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 </w:t>
            </w:r>
          </w:p>
        </w:tc>
        <w:tc>
          <w:tcPr>
            <w:tcW w:w="1276"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 </w:t>
            </w:r>
          </w:p>
        </w:tc>
        <w:tc>
          <w:tcPr>
            <w:tcW w:w="1276"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p>
        </w:tc>
        <w:tc>
          <w:tcPr>
            <w:tcW w:w="1276"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168 952 250</w:t>
            </w:r>
          </w:p>
        </w:tc>
        <w:tc>
          <w:tcPr>
            <w:tcW w:w="992"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142 092 250</w:t>
            </w:r>
          </w:p>
        </w:tc>
        <w:tc>
          <w:tcPr>
            <w:tcW w:w="992"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26 860 000</w:t>
            </w:r>
          </w:p>
        </w:tc>
      </w:tr>
      <w:tr>
        <w:tblPrEx/>
        <w:trPr>
          <w:trHeight w:val="276" w:hRule="atLeast"/>
        </w:trPr>
        <w:tc>
          <w:tcPr>
            <w:tcW w:w="2689" w:type="dxa"/>
            <w:tcBorders>
              <w:top w:val="nil"/>
              <w:left w:val="nil"/>
              <w:bottom w:val="nil"/>
              <w:right w:val="nil"/>
            </w:tcBorders>
            <w:shd w:val="clear" w:color="auto" w:fill="auto"/>
            <w:noWrap/>
            <w:vAlign w:val="bottom"/>
            <w:hideMark/>
          </w:tcPr>
          <w:p>
            <w:pPr>
              <w:pStyle w:val="style0"/>
              <w:jc w:val="center"/>
              <w:rPr>
                <w:rFonts w:ascii="Century Gothic" w:cs="Calibri" w:hAnsi="Century Gothic"/>
                <w:b/>
                <w:bCs/>
                <w:color w:val="000000"/>
                <w:sz w:val="18"/>
                <w:szCs w:val="18"/>
              </w:rPr>
            </w:pPr>
          </w:p>
        </w:tc>
        <w:tc>
          <w:tcPr>
            <w:tcW w:w="1275" w:type="dxa"/>
            <w:tcBorders>
              <w:top w:val="nil"/>
              <w:left w:val="nil"/>
              <w:bottom w:val="nil"/>
              <w:right w:val="nil"/>
            </w:tcBorders>
            <w:shd w:val="clear" w:color="auto" w:fill="auto"/>
            <w:vAlign w:val="center"/>
            <w:hideMark/>
          </w:tcPr>
          <w:p>
            <w:pPr>
              <w:pStyle w:val="style0"/>
              <w:rPr>
                <w:rFonts w:ascii="Century Gothic" w:hAnsi="Century Gothic"/>
                <w:sz w:val="18"/>
                <w:szCs w:val="18"/>
              </w:rPr>
            </w:pPr>
          </w:p>
        </w:tc>
        <w:tc>
          <w:tcPr>
            <w:tcW w:w="1276" w:type="dxa"/>
            <w:tcBorders>
              <w:top w:val="nil"/>
              <w:left w:val="nil"/>
              <w:bottom w:val="nil"/>
              <w:right w:val="nil"/>
            </w:tcBorders>
            <w:shd w:val="clear" w:color="auto" w:fill="auto"/>
            <w:vAlign w:val="center"/>
            <w:hideMark/>
          </w:tcPr>
          <w:p>
            <w:pPr>
              <w:pStyle w:val="style0"/>
              <w:jc w:val="center"/>
              <w:rPr>
                <w:rFonts w:ascii="Century Gothic" w:hAnsi="Century Gothic"/>
                <w:sz w:val="18"/>
                <w:szCs w:val="18"/>
              </w:rPr>
            </w:pPr>
          </w:p>
        </w:tc>
        <w:tc>
          <w:tcPr>
            <w:tcW w:w="1276" w:type="dxa"/>
            <w:tcBorders>
              <w:top w:val="nil"/>
              <w:left w:val="nil"/>
              <w:bottom w:val="nil"/>
              <w:right w:val="nil"/>
            </w:tcBorders>
            <w:shd w:val="clear" w:color="auto" w:fill="auto"/>
            <w:vAlign w:val="center"/>
            <w:hideMark/>
          </w:tcPr>
          <w:p>
            <w:pPr>
              <w:pStyle w:val="style0"/>
              <w:jc w:val="center"/>
              <w:rPr>
                <w:rFonts w:ascii="Century Gothic" w:hAnsi="Century Gothic"/>
                <w:sz w:val="18"/>
                <w:szCs w:val="18"/>
              </w:rPr>
            </w:pPr>
          </w:p>
        </w:tc>
        <w:tc>
          <w:tcPr>
            <w:tcW w:w="1276" w:type="dxa"/>
            <w:tcBorders>
              <w:top w:val="nil"/>
              <w:left w:val="nil"/>
              <w:bottom w:val="nil"/>
              <w:right w:val="nil"/>
            </w:tcBorders>
            <w:shd w:val="clear" w:color="auto" w:fill="auto"/>
            <w:vAlign w:val="center"/>
            <w:hideMark/>
          </w:tcPr>
          <w:p>
            <w:pPr>
              <w:pStyle w:val="style0"/>
              <w:jc w:val="center"/>
              <w:rPr>
                <w:rFonts w:ascii="Century Gothic" w:hAnsi="Century Gothic"/>
                <w:sz w:val="18"/>
                <w:szCs w:val="18"/>
              </w:rPr>
            </w:pPr>
          </w:p>
        </w:tc>
        <w:tc>
          <w:tcPr>
            <w:tcW w:w="992" w:type="dxa"/>
            <w:tcBorders>
              <w:top w:val="nil"/>
              <w:left w:val="nil"/>
              <w:bottom w:val="nil"/>
              <w:right w:val="nil"/>
            </w:tcBorders>
            <w:shd w:val="clear" w:color="auto" w:fill="auto"/>
            <w:vAlign w:val="center"/>
            <w:hideMark/>
          </w:tcPr>
          <w:p>
            <w:pPr>
              <w:pStyle w:val="style0"/>
              <w:jc w:val="center"/>
              <w:rPr>
                <w:rFonts w:ascii="Century Gothic" w:hAnsi="Century Gothic"/>
                <w:sz w:val="18"/>
                <w:szCs w:val="18"/>
              </w:rPr>
            </w:pPr>
          </w:p>
        </w:tc>
        <w:tc>
          <w:tcPr>
            <w:tcW w:w="992" w:type="dxa"/>
            <w:tcBorders>
              <w:top w:val="nil"/>
              <w:left w:val="nil"/>
              <w:bottom w:val="nil"/>
              <w:right w:val="nil"/>
            </w:tcBorders>
            <w:shd w:val="clear" w:color="auto" w:fill="auto"/>
            <w:vAlign w:val="center"/>
            <w:hideMark/>
          </w:tcPr>
          <w:p>
            <w:pPr>
              <w:pStyle w:val="style0"/>
              <w:jc w:val="center"/>
              <w:rPr>
                <w:rFonts w:ascii="Century Gothic" w:hAnsi="Century Gothic"/>
                <w:sz w:val="18"/>
                <w:szCs w:val="18"/>
              </w:rPr>
            </w:pPr>
          </w:p>
        </w:tc>
      </w:tr>
    </w:tbl>
    <w:p>
      <w:pPr>
        <w:pStyle w:val="style0"/>
        <w:tabs>
          <w:tab w:val="left" w:leader="none" w:pos="9214"/>
          <w:tab w:val="left" w:leader="none" w:pos="9639"/>
        </w:tabs>
        <w:jc w:val="both"/>
        <w:rPr>
          <w:rFonts w:ascii="Century Gothic" w:hAnsi="Century Gothic"/>
          <w:bCs/>
        </w:rPr>
      </w:pPr>
    </w:p>
    <w:bookmarkStart w:id="38" w:name="_Toc82046084"/>
    <w:p>
      <w:pPr>
        <w:pStyle w:val="style3"/>
        <w:numPr>
          <w:ilvl w:val="0"/>
          <w:numId w:val="0"/>
        </w:numPr>
        <w:tabs>
          <w:tab w:val="left" w:leader="none" w:pos="9214"/>
          <w:tab w:val="left" w:leader="none" w:pos="9639"/>
        </w:tabs>
        <w:rPr>
          <w:rFonts w:ascii="Century Gothic" w:hAnsi="Century Gothic"/>
          <w:i w:val="false"/>
          <w:szCs w:val="24"/>
        </w:rPr>
      </w:pPr>
      <w:r>
        <w:rPr>
          <w:rFonts w:ascii="Century Gothic" w:hAnsi="Century Gothic"/>
          <w:i w:val="false"/>
          <w:szCs w:val="24"/>
        </w:rPr>
        <w:t>4.</w:t>
      </w:r>
      <w:r>
        <w:rPr>
          <w:rFonts w:ascii="Century Gothic" w:hAnsi="Century Gothic"/>
          <w:i w:val="false"/>
          <w:szCs w:val="24"/>
        </w:rPr>
        <w:t>6</w:t>
      </w:r>
      <w:r>
        <w:rPr>
          <w:rFonts w:ascii="Century Gothic" w:hAnsi="Century Gothic"/>
          <w:i w:val="false"/>
          <w:szCs w:val="24"/>
        </w:rPr>
        <w:t>. Cadre logique du PDIC REDD+</w:t>
      </w:r>
      <w:bookmarkEnd w:id="38"/>
    </w:p>
    <w:p>
      <w:pPr>
        <w:pStyle w:val="style0"/>
        <w:tabs>
          <w:tab w:val="left" w:leader="none" w:pos="9214"/>
          <w:tab w:val="left" w:leader="none" w:pos="9639"/>
        </w:tabs>
        <w:rPr>
          <w:rFonts w:ascii="Century Gothic" w:hAnsi="Century Gothic"/>
        </w:rPr>
      </w:pPr>
    </w:p>
    <w:bookmarkStart w:id="39" w:name="_Toc82333836"/>
    <w:p>
      <w:pPr>
        <w:pStyle w:val="style34"/>
        <w:rPr>
          <w:rFonts w:ascii="Century Gothic" w:hAnsi="Century Gothic"/>
          <w:color w:val="auto"/>
          <w:sz w:val="22"/>
          <w:szCs w:val="22"/>
        </w:rPr>
      </w:pPr>
      <w:r>
        <w:rPr>
          <w:rFonts w:ascii="Century Gothic" w:hAnsi="Century Gothic"/>
          <w:color w:val="auto"/>
          <w:sz w:val="22"/>
          <w:szCs w:val="22"/>
        </w:rPr>
        <w:t xml:space="preserve">Tableau </w:t>
      </w:r>
      <w:r>
        <w:rPr>
          <w:rFonts w:ascii="Century Gothic" w:hAnsi="Century Gothic"/>
          <w:color w:val="auto"/>
          <w:sz w:val="22"/>
          <w:szCs w:val="22"/>
        </w:rPr>
        <w:fldChar w:fldCharType="begin"/>
      </w:r>
      <w:r>
        <w:rPr>
          <w:rFonts w:ascii="Century Gothic" w:hAnsi="Century Gothic"/>
          <w:color w:val="auto"/>
          <w:sz w:val="22"/>
          <w:szCs w:val="22"/>
        </w:rPr>
        <w:instrText xml:space="preserve"> SEQ Tableau \* ROMAN </w:instrText>
      </w:r>
      <w:r>
        <w:rPr>
          <w:rFonts w:ascii="Century Gothic" w:hAnsi="Century Gothic"/>
          <w:color w:val="auto"/>
          <w:sz w:val="22"/>
          <w:szCs w:val="22"/>
        </w:rPr>
        <w:fldChar w:fldCharType="separate"/>
      </w:r>
      <w:r>
        <w:rPr>
          <w:rFonts w:ascii="Century Gothic" w:hAnsi="Century Gothic"/>
          <w:noProof/>
          <w:color w:val="auto"/>
          <w:sz w:val="22"/>
          <w:szCs w:val="22"/>
        </w:rPr>
        <w:t>IV</w:t>
      </w:r>
      <w:r>
        <w:rPr>
          <w:rFonts w:ascii="Century Gothic" w:hAnsi="Century Gothic"/>
          <w:color w:val="auto"/>
          <w:sz w:val="22"/>
          <w:szCs w:val="22"/>
        </w:rPr>
        <w:fldChar w:fldCharType="end"/>
      </w:r>
      <w:r>
        <w:rPr>
          <w:rFonts w:ascii="Century Gothic" w:hAnsi="Century Gothic"/>
          <w:color w:val="auto"/>
          <w:sz w:val="22"/>
          <w:szCs w:val="22"/>
        </w:rPr>
        <w:t>: Cadre logique</w:t>
      </w:r>
      <w:bookmarkEnd w:id="39"/>
    </w:p>
    <w:tbl>
      <w:tblPr>
        <w:tblW w:w="9918" w:type="dxa"/>
        <w:tblLayout w:type="fixed"/>
        <w:tblCellMar>
          <w:left w:w="70" w:type="dxa"/>
          <w:right w:w="70" w:type="dxa"/>
        </w:tblCellMar>
        <w:tblLook w:val="04A0" w:firstRow="1" w:lastRow="0" w:firstColumn="1" w:lastColumn="0" w:noHBand="0" w:noVBand="1"/>
      </w:tblPr>
      <w:tblGrid>
        <w:gridCol w:w="2830"/>
        <w:gridCol w:w="2127"/>
        <w:gridCol w:w="1559"/>
        <w:gridCol w:w="1417"/>
        <w:gridCol w:w="1985"/>
      </w:tblGrid>
      <w:tr>
        <w:trPr>
          <w:trHeight w:val="179" w:hRule="atLeast"/>
          <w:tblHeader/>
        </w:trPr>
        <w:tc>
          <w:tcPr>
            <w:tcW w:w="28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LOGIQUE D’INTERVENTION</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INDICATEURS OBJECTIVEMENT VERIFIABLES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CIBLES</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 xml:space="preserve">SOURCES DE VERIFICATION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HYPOTHESES</w:t>
            </w:r>
          </w:p>
        </w:tc>
      </w:tr>
      <w:tr>
        <w:tblPrEx/>
        <w:trPr>
          <w:trHeight w:val="1044" w:hRule="atLeast"/>
        </w:trPr>
        <w:tc>
          <w:tcPr>
            <w:tcW w:w="2830"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jc w:val="both"/>
              <w:rPr>
                <w:rFonts w:ascii="Century Gothic" w:cs="Calibri" w:hAnsi="Century Gothic"/>
                <w:b/>
                <w:bCs/>
                <w:color w:val="000000"/>
                <w:sz w:val="18"/>
                <w:szCs w:val="18"/>
              </w:rPr>
            </w:pPr>
          </w:p>
        </w:tc>
        <w:tc>
          <w:tcPr>
            <w:tcW w:w="2127"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8"/>
                <w:szCs w:val="18"/>
              </w:rPr>
            </w:pP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(valeurs des indicateurs conformément aux objectifs visés par le PDIC) (par sexe si possible)</w:t>
            </w:r>
          </w:p>
        </w:tc>
        <w:tc>
          <w:tcPr>
            <w:tcW w:w="1417"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8"/>
                <w:szCs w:val="18"/>
              </w:rPr>
            </w:pPr>
          </w:p>
        </w:tc>
        <w:tc>
          <w:tcPr>
            <w:tcW w:w="1985" w:type="dxa"/>
            <w:vMerge w:val="continue"/>
            <w:tcBorders>
              <w:top w:val="single" w:sz="4" w:space="0" w:color="auto"/>
              <w:left w:val="single" w:sz="4" w:space="0" w:color="auto"/>
              <w:bottom w:val="single" w:sz="4" w:space="0" w:color="auto"/>
              <w:right w:val="single" w:sz="4" w:space="0" w:color="auto"/>
            </w:tcBorders>
            <w:vAlign w:val="center"/>
            <w:hideMark/>
          </w:tcPr>
          <w:p>
            <w:pPr>
              <w:pStyle w:val="style0"/>
              <w:jc w:val="both"/>
              <w:rPr>
                <w:rFonts w:ascii="Century Gothic" w:cs="Calibri" w:hAnsi="Century Gothic"/>
                <w:b/>
                <w:bCs/>
                <w:color w:val="000000"/>
                <w:sz w:val="18"/>
                <w:szCs w:val="18"/>
              </w:rPr>
            </w:pPr>
          </w:p>
        </w:tc>
      </w:tr>
      <w:tr>
        <w:tblPrEx/>
        <w:trPr>
          <w:trHeight w:val="1044" w:hRule="atLeast"/>
        </w:trPr>
        <w:tc>
          <w:tcPr>
            <w:tcW w:w="2830"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b/>
                <w:bCs/>
                <w:color w:val="000000"/>
                <w:sz w:val="18"/>
                <w:szCs w:val="18"/>
              </w:rPr>
            </w:pPr>
            <w:r>
              <w:rPr>
                <w:rFonts w:ascii="Century Gothic" w:cs="Calibri" w:hAnsi="Century Gothic"/>
                <w:b/>
                <w:bCs/>
                <w:color w:val="000000"/>
                <w:sz w:val="18"/>
                <w:szCs w:val="18"/>
              </w:rPr>
              <w:t>Objectif global</w:t>
            </w:r>
            <w:r>
              <w:rPr>
                <w:rFonts w:ascii="Century Gothic" w:cs="Calibri" w:hAnsi="Century Gothic"/>
                <w:color w:val="000000"/>
                <w:sz w:val="18"/>
                <w:szCs w:val="18"/>
              </w:rPr>
              <w:t xml:space="preserve">: contribuer à la séquestration du carbone et à la réduction de la pauvreté </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Superficie de forêts aménagées</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64,08 hectares aménagés et 2004 personnes touchées</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Rapport d'activités du PDIC</w:t>
            </w:r>
          </w:p>
        </w:tc>
        <w:tc>
          <w:tcPr>
            <w:tcW w:w="1985"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Politique nationale de décentralisation favorable à la création des espaces de conservation communaux et la réduction de la pauvreté en milieu rural</w:t>
            </w:r>
          </w:p>
        </w:tc>
      </w:tr>
      <w:tr>
        <w:tblPrEx/>
        <w:trPr>
          <w:trHeight w:val="1044" w:hRule="atLeast"/>
        </w:trPr>
        <w:tc>
          <w:tcPr>
            <w:tcW w:w="2830" w:type="dxa"/>
            <w:vMerge w:val="continue"/>
            <w:tcBorders>
              <w:top w:val="nil"/>
              <w:left w:val="single" w:sz="4" w:space="0" w:color="auto"/>
              <w:bottom w:val="single" w:sz="4" w:space="0" w:color="auto"/>
              <w:right w:val="single" w:sz="4" w:space="0" w:color="auto"/>
            </w:tcBorders>
            <w:vAlign w:val="center"/>
            <w:hideMark/>
          </w:tcPr>
          <w:p>
            <w:pPr>
              <w:pStyle w:val="style0"/>
              <w:jc w:val="both"/>
              <w:rPr>
                <w:rFonts w:ascii="Century Gothic" w:cs="Calibri" w:hAnsi="Century Gothic"/>
                <w:b/>
                <w:bCs/>
                <w:color w:val="000000"/>
                <w:sz w:val="18"/>
                <w:szCs w:val="18"/>
              </w:rPr>
            </w:pP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bénéficiaires aux revenus augmentés</w:t>
            </w:r>
          </w:p>
        </w:tc>
        <w:tc>
          <w:tcPr>
            <w:tcW w:w="1559" w:type="dxa"/>
            <w:vMerge w:val="continue"/>
            <w:tcBorders>
              <w:top w:val="nil"/>
              <w:left w:val="single" w:sz="4" w:space="0" w:color="auto"/>
              <w:bottom w:val="single" w:sz="4" w:space="0" w:color="auto"/>
              <w:right w:val="single" w:sz="4" w:space="0" w:color="auto"/>
            </w:tcBorders>
            <w:vAlign w:val="center"/>
            <w:hideMark/>
          </w:tcPr>
          <w:p>
            <w:pPr>
              <w:pStyle w:val="style0"/>
              <w:jc w:val="center"/>
              <w:rPr>
                <w:rFonts w:ascii="Century Gothic" w:cs="Calibri" w:hAnsi="Century Gothic"/>
                <w:color w:val="000000"/>
                <w:sz w:val="18"/>
                <w:szCs w:val="18"/>
              </w:rPr>
            </w:pPr>
          </w:p>
        </w:tc>
        <w:tc>
          <w:tcPr>
            <w:tcW w:w="141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color w:val="000000"/>
                <w:sz w:val="18"/>
                <w:szCs w:val="18"/>
              </w:rPr>
            </w:pPr>
          </w:p>
        </w:tc>
        <w:tc>
          <w:tcPr>
            <w:tcW w:w="1985" w:type="dxa"/>
            <w:vMerge w:val="continue"/>
            <w:tcBorders>
              <w:top w:val="nil"/>
              <w:left w:val="single" w:sz="4" w:space="0" w:color="auto"/>
              <w:bottom w:val="single" w:sz="4" w:space="0" w:color="auto"/>
              <w:right w:val="single" w:sz="4" w:space="0" w:color="auto"/>
            </w:tcBorders>
            <w:vAlign w:val="center"/>
            <w:hideMark/>
          </w:tcPr>
          <w:p>
            <w:pPr>
              <w:pStyle w:val="style0"/>
              <w:jc w:val="both"/>
              <w:rPr>
                <w:rFonts w:ascii="Century Gothic" w:cs="Calibri" w:hAnsi="Century Gothic"/>
                <w:color w:val="000000"/>
                <w:sz w:val="18"/>
                <w:szCs w:val="18"/>
              </w:rPr>
            </w:pPr>
          </w:p>
        </w:tc>
      </w:tr>
      <w:tr>
        <w:tblPrEx/>
        <w:trPr>
          <w:trHeight w:val="456" w:hRule="atLeast"/>
        </w:trPr>
        <w:tc>
          <w:tcPr>
            <w:tcW w:w="2830" w:type="dxa"/>
            <w:tcBorders>
              <w:top w:val="nil"/>
              <w:left w:val="single" w:sz="4" w:space="0" w:color="auto"/>
              <w:bottom w:val="single" w:sz="4" w:space="0" w:color="auto"/>
              <w:right w:val="single" w:sz="4" w:space="0" w:color="auto"/>
            </w:tcBorders>
            <w:shd w:val="clear" w:color="000000" w:fill="d9d9d9"/>
            <w:vAlign w:val="center"/>
            <w:hideMark/>
          </w:tcPr>
          <w:p>
            <w:pPr>
              <w:pStyle w:val="style0"/>
              <w:jc w:val="both"/>
              <w:rPr>
                <w:rFonts w:ascii="Century Gothic" w:cs="Calibri" w:hAnsi="Century Gothic"/>
                <w:b/>
                <w:bCs/>
                <w:color w:val="000000"/>
                <w:sz w:val="18"/>
                <w:szCs w:val="18"/>
              </w:rPr>
            </w:pPr>
            <w:r>
              <w:rPr>
                <w:rFonts w:ascii="Century Gothic" w:cs="Calibri" w:hAnsi="Century Gothic"/>
                <w:b/>
                <w:bCs/>
                <w:color w:val="000000"/>
                <w:sz w:val="18"/>
                <w:szCs w:val="18"/>
              </w:rPr>
              <w:t> </w:t>
            </w:r>
          </w:p>
        </w:tc>
        <w:tc>
          <w:tcPr>
            <w:tcW w:w="2127"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559"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p>
        </w:tc>
        <w:tc>
          <w:tcPr>
            <w:tcW w:w="1417"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985" w:type="dxa"/>
            <w:tcBorders>
              <w:top w:val="nil"/>
              <w:left w:val="nil"/>
              <w:bottom w:val="single" w:sz="4" w:space="0" w:color="auto"/>
              <w:right w:val="single" w:sz="4" w:space="0" w:color="auto"/>
            </w:tcBorders>
            <w:shd w:val="clear" w:color="000000" w:fill="d9d9d9"/>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296"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b/>
                <w:bCs/>
                <w:color w:val="000000"/>
                <w:sz w:val="18"/>
                <w:szCs w:val="18"/>
              </w:rPr>
            </w:pPr>
            <w:r>
              <w:rPr>
                <w:rFonts w:ascii="Century Gothic" w:cs="Calibri" w:hAnsi="Century Gothic"/>
                <w:b/>
                <w:bCs/>
                <w:color w:val="000000"/>
                <w:sz w:val="18"/>
                <w:szCs w:val="18"/>
              </w:rPr>
              <w:t>Objectifs spécifiques</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942"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Renforcer les initiatives d’aménagement et de restauration des forêts villageoises  de de Kaya et de Tangassogo </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xml:space="preserve">Nombre d'hectares </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764,61 hectares de terres communales dont 490,86 hectares de forêts</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Rapport d'activités</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876"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xml:space="preserve">Améliorer les productivités agropastorales et les revenus des populations dans les espaces de conservation de de Kaya et de Tangassogo </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personnes touchées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8517 personnes directes dont 3157 femmes</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Rapports de formation, d'activités, de suivi</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des prestataires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Assurer une gestion efficiente des ressources financières, une capitalisation et une large diffusion des résultats du PDIC/REDD+ de Tiébélé</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personnes impliqués dans la mise en œuvre du PDIC</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34865</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Rapports de formation, d'activités, rapports de rencontre et d'ateliers, rapports de suivi</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Expérience et engagement du personnel et de la mairie, disponibilité des acteurs locaux et des fonds</w:t>
            </w:r>
          </w:p>
        </w:tc>
      </w:tr>
      <w:tr>
        <w:tblPrEx/>
        <w:trPr>
          <w:trHeight w:val="58" w:hRule="atLeast"/>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b/>
                <w:bCs/>
                <w:color w:val="000000"/>
                <w:sz w:val="18"/>
                <w:szCs w:val="18"/>
              </w:rPr>
            </w:pPr>
            <w:r>
              <w:rPr>
                <w:rFonts w:ascii="Century Gothic" w:cs="Calibri" w:hAnsi="Century Gothic"/>
                <w:b/>
                <w:bCs/>
                <w:color w:val="000000"/>
                <w:sz w:val="18"/>
                <w:szCs w:val="18"/>
              </w:rPr>
              <w:t>Résultats</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58"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xml:space="preserve">Au moins 764,61 hectares de terres communales dont 490,86 hectares de forêts sont aménagés et sécurisés d’ici Décembre </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d'hectares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761,61</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Rapport d'activités, rapports de suivi</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600" w:hRule="atLeast"/>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Au moins 8517 bénéficiaires directs dont 3157 femmes mettent en œuvre des initiatives d’amélioration des productivités agropastorales et des revenus dans les espaces de conservation de de Kaya et de Tangassogo  entre Janvier 2022 et Décembre 2026 </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Niveau d'augmentation des revenus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25%</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Rapport d'activités, rapports de suivi</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303"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Les résultats et enseignements du PDIC/REDD+ de Tiébélé sont capitalisés et largement diffusés entre Janvier 2022 et Décembre 2026</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rapport annuels validés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Rapport d'activités, rapports de suivi</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000000" w:fill="ffff00"/>
            <w:vAlign w:val="center"/>
            <w:hideMark/>
          </w:tcPr>
          <w:p>
            <w:pPr>
              <w:pStyle w:val="style0"/>
              <w:jc w:val="both"/>
              <w:rPr>
                <w:rFonts w:ascii="Century Gothic" w:cs="Calibri" w:hAnsi="Century Gothic"/>
                <w:b/>
                <w:bCs/>
                <w:color w:val="000000"/>
                <w:sz w:val="18"/>
                <w:szCs w:val="18"/>
              </w:rPr>
            </w:pPr>
            <w:r>
              <w:rPr>
                <w:rFonts w:ascii="Century Gothic" w:cs="Calibri" w:hAnsi="Century Gothic"/>
                <w:b/>
                <w:bCs/>
                <w:color w:val="000000"/>
                <w:sz w:val="18"/>
                <w:szCs w:val="18"/>
              </w:rPr>
              <w:t>ACTIVITES</w:t>
            </w:r>
          </w:p>
        </w:tc>
        <w:tc>
          <w:tcPr>
            <w:tcW w:w="2127"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INDICATEURS</w:t>
            </w:r>
          </w:p>
        </w:tc>
        <w:tc>
          <w:tcPr>
            <w:tcW w:w="1559"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CIBLE</w:t>
            </w:r>
          </w:p>
        </w:tc>
        <w:tc>
          <w:tcPr>
            <w:tcW w:w="1417" w:type="dxa"/>
            <w:tcBorders>
              <w:top w:val="nil"/>
              <w:left w:val="nil"/>
              <w:bottom w:val="single" w:sz="4" w:space="0" w:color="auto"/>
              <w:right w:val="single" w:sz="4" w:space="0" w:color="auto"/>
            </w:tcBorders>
            <w:shd w:val="clear" w:color="000000" w:fill="ffff00"/>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Coût par type d’activité (préciser uniquement les budgets)</w:t>
            </w:r>
          </w:p>
        </w:tc>
        <w:tc>
          <w:tcPr>
            <w:tcW w:w="1985" w:type="dxa"/>
            <w:tcBorders>
              <w:top w:val="nil"/>
              <w:left w:val="nil"/>
              <w:bottom w:val="single" w:sz="4" w:space="0" w:color="auto"/>
              <w:right w:val="single" w:sz="4" w:space="0" w:color="auto"/>
            </w:tcBorders>
            <w:shd w:val="clear" w:color="000000" w:fill="ffff00"/>
            <w:vAlign w:val="center"/>
            <w:hideMark/>
          </w:tcPr>
          <w:p>
            <w:pPr>
              <w:pStyle w:val="style0"/>
              <w:jc w:val="both"/>
              <w:rPr>
                <w:rFonts w:ascii="Century Gothic" w:cs="Calibri" w:hAnsi="Century Gothic"/>
                <w:b/>
                <w:bCs/>
                <w:color w:val="000000"/>
                <w:sz w:val="18"/>
                <w:szCs w:val="18"/>
              </w:rPr>
            </w:pPr>
            <w:r>
              <w:rPr>
                <w:rFonts w:ascii="Century Gothic" w:cs="Calibri" w:hAnsi="Century Gothic"/>
                <w:b/>
                <w:bCs/>
                <w:color w:val="000000"/>
                <w:sz w:val="18"/>
                <w:szCs w:val="18"/>
              </w:rPr>
              <w:t>Sources de vérification</w:t>
            </w:r>
          </w:p>
        </w:tc>
      </w:tr>
      <w:tr>
        <w:tblPrEx/>
        <w:trPr>
          <w:trHeight w:val="58" w:hRule="atLeast"/>
        </w:trPr>
        <w:tc>
          <w:tcPr>
            <w:tcW w:w="9918"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r>
              <w:rPr>
                <w:rFonts w:ascii="Century Gothic" w:cs="Calibri" w:hAnsi="Century Gothic"/>
                <w:b/>
                <w:bCs/>
                <w:i/>
                <w:iCs/>
                <w:color w:val="000000"/>
                <w:sz w:val="18"/>
                <w:szCs w:val="18"/>
              </w:rPr>
              <w:t>Activités directement liées à la réduction des émissions des gaz à effet de serre dans la commune</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xml:space="preserve">Sous-Activité 4.1.2.1.1.1. Appuyer la production des plants dans l’espace de conservation de Kaya </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plants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50 775</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right"/>
              <w:rPr>
                <w:rFonts w:ascii="Century Gothic" w:cs="Calibri" w:hAnsi="Century Gothic"/>
                <w:color w:val="000000"/>
                <w:sz w:val="18"/>
                <w:szCs w:val="18"/>
              </w:rPr>
            </w:pPr>
            <w:r>
              <w:rPr>
                <w:rFonts w:ascii="Century Gothic" w:cs="Calibri" w:hAnsi="Century Gothic"/>
                <w:color w:val="000000"/>
                <w:sz w:val="18"/>
                <w:szCs w:val="18"/>
              </w:rPr>
              <w:t>4 250 000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ressources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4.1.2.1.1.2. Réaliser des plantations d’enrichissement/délimitation de la forêt de Kaya</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plants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28 275</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right"/>
              <w:rPr>
                <w:rFonts w:ascii="Century Gothic" w:cs="Calibri" w:hAnsi="Century Gothic"/>
                <w:color w:val="000000"/>
                <w:sz w:val="18"/>
                <w:szCs w:val="18"/>
              </w:rPr>
            </w:pPr>
            <w:r>
              <w:rPr>
                <w:rFonts w:ascii="Century Gothic" w:cs="Calibri" w:hAnsi="Century Gothic"/>
                <w:color w:val="000000"/>
                <w:sz w:val="18"/>
                <w:szCs w:val="18"/>
              </w:rPr>
              <w:t>8 482 500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4.1.2.1.1.3.  Réaliser des plantations individuelles dans les villages riverains dans l’espace de conservation de Kaya (villages de Kaya Fabolo, Kaya Kafor et Kaya Navio)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plants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22 500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right"/>
              <w:rPr>
                <w:rFonts w:ascii="Century Gothic" w:cs="Calibri" w:hAnsi="Century Gothic"/>
                <w:color w:val="000000"/>
                <w:sz w:val="18"/>
                <w:szCs w:val="18"/>
              </w:rPr>
            </w:pPr>
            <w:r>
              <w:rPr>
                <w:rFonts w:ascii="Century Gothic" w:cs="Calibri" w:hAnsi="Century Gothic"/>
                <w:color w:val="000000"/>
                <w:sz w:val="18"/>
                <w:szCs w:val="18"/>
              </w:rPr>
              <w:t>6 750 000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xml:space="preserve">Sous-Activité 4.1.2.1.1.4. Mettre en place un comité villageois de gestion de la forêt villageoise de Kaya. </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xml:space="preserve">Sous-Activité 4.1.2.1.1.5. Former/ recycler 07 membres du comité de gestion / suivi de la charte sur leurs attributions dans l’espace de conservation de Kaya. </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1 650 000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4.1.2.1.1.6. Elaborer une charte foncière locale de la forêt de Kaya</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document de la charte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2 100 000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4.1.2.1.1.7. Appuyer le renouvellement et la formation des instances des commissions foncières villageoises,</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structures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1 200 000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4.1.2.1.1.8. Réaliser le bornage de la forêt villageoise de Kaya</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bornes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31</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1 085 000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xml:space="preserve">Sous-Activité 4.1.2.1.1.9. Confectionner et fixer cinq (5) panneaux d'information et de sensibilisation sur la forêt de Kaya </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panneaux</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300 000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4.2.2.1.1.1. Réaliser des plantations d’enrichissement/délimitation de la forêt de Tangassogo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plants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12 525</w:t>
            </w:r>
          </w:p>
        </w:tc>
        <w:tc>
          <w:tcPr>
            <w:tcW w:w="1417"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xml:space="preserve">                    3 757 500   </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4.2.2.1.1.2.  Réaliser des plantations individuelles dans les villages riverains dans l’espace de conservation Tangassogo (villages Ouédiabié-Tangassogo et Ourobié-Tangassogo).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plants</w:t>
            </w:r>
          </w:p>
        </w:tc>
        <w:tc>
          <w:tcPr>
            <w:tcW w:w="155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15000</w:t>
            </w:r>
          </w:p>
        </w:tc>
        <w:tc>
          <w:tcPr>
            <w:tcW w:w="1417"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xml:space="preserve">                    4 500 000   </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xml:space="preserve">Sous-Activité 4.2.2.1.1.3. Mettre en place un comité villageois de gestion dans l’espace de conservation Tangassogo. </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xml:space="preserve">Nombre de participants </w:t>
            </w:r>
          </w:p>
        </w:tc>
        <w:tc>
          <w:tcPr>
            <w:tcW w:w="155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1164</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xml:space="preserve">Sous-Activité 4.2.2.1.1.4. Former/ recycler 07 membres du comité de gestion / suivi de la charte sur leurs attributions dans l’espace de conservation Tangassogo. </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xml:space="preserve">Nombre de participants </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7</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1 650 000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4.2.2.1.1.5. Elaborer une charte locale de gestion foncière de la forêt de Tangassogo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1 164</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2 850 000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4.2.2.1.1.6. Réaliser le bornage de la forêt communale de Tangassogo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bornes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1 164</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630 000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4.2.2.1.1.7. Confectionner et fixer cinq (5) de panneaux d'information et de sensibilisation sur la forêt de Tangassogo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panneaux</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1 164</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300 000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428" w:hRule="atLeast"/>
        </w:trPr>
        <w:tc>
          <w:tcPr>
            <w:tcW w:w="2830" w:type="dxa"/>
            <w:tcBorders>
              <w:top w:val="nil"/>
              <w:left w:val="single" w:sz="4" w:space="0" w:color="auto"/>
              <w:bottom w:val="single" w:sz="4" w:space="0" w:color="auto"/>
              <w:right w:val="single" w:sz="4" w:space="0" w:color="auto"/>
            </w:tcBorders>
            <w:shd w:val="clear" w:color="000000" w:fill="d9d9d9"/>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Activités induites d’amélioration des productivités et des revenus dans les espaces de conservation de Kaya et Tangassogo</w:t>
            </w:r>
          </w:p>
        </w:tc>
        <w:tc>
          <w:tcPr>
            <w:tcW w:w="2127" w:type="dxa"/>
            <w:tcBorders>
              <w:top w:val="nil"/>
              <w:left w:val="nil"/>
              <w:bottom w:val="single" w:sz="4" w:space="0" w:color="auto"/>
              <w:right w:val="single" w:sz="4" w:space="0" w:color="auto"/>
            </w:tcBorders>
            <w:shd w:val="clear" w:color="000000" w:fill="d9d9d9"/>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559"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p>
        </w:tc>
        <w:tc>
          <w:tcPr>
            <w:tcW w:w="1417"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985" w:type="dxa"/>
            <w:tcBorders>
              <w:top w:val="nil"/>
              <w:left w:val="nil"/>
              <w:bottom w:val="single" w:sz="4" w:space="0" w:color="auto"/>
              <w:right w:val="single" w:sz="4" w:space="0" w:color="auto"/>
            </w:tcBorders>
            <w:shd w:val="clear" w:color="000000" w:fill="d9d9d9"/>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6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4.1.2.2.1. Appuyer 150 producteurs à la production et à l’utilisation du compost dans l’espace de conservation de Kaya (villages de Kaya Fabolo, Kaya Kafor et Kaya Navio)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bénéficiaires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3 525 000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956"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4.1.2.2.2. Appuyer 150 producteurs la fauche et conservation du fourrage naturel dans les villages riverains de l‘espace de conservation de Kaya (villages de Kaya Fabolo, Kaya Kafor et Kaya Navio)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bénéficiaires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22 875 000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560"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4.1.2.2.3. Appuyer l’apiculture moderne au profit de 20 jeunes et femmes dans l’espace de conservation de Kaya (village de Kaya Navio)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bénéficiaires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2 725 000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608"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4.1.2.2.4. Mettre en place une unité  de transformation des PFNL dans l’espace de conservation de Kaya au profit de la SCOOP KOUDJIGUI-TINA</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bénéficiaires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13 240 000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608"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4.2.2.2.1. Appuyer 100 producteurs à la production et à l’utilisation du compost dans l’espace de conservation de Tangassogo ((villages Ouédiabié-Tangassogo et Ourobié-Tangassogo)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bénéficiaires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2 475 000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476"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4.2.2.2.2. Appuyer 100 producteurs la fauche et conservation du fourrage naturel dans les villages riverains de l‘espace de conservation Tangassogo (villages Ouédiabié-Tangassogo et Ourobié-Tangassogo)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bénéficiaires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15 375 000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656"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4.2.2.2.3. Appuyer l’apiculture moderne au profit de 40 jeunes et femmes dans l’espace de conservation de Tangassogo (villages Ouédiabié-Tangassogo et Ourobié-Tangassogo)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bénéficiaires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4 700 000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656"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xml:space="preserve">Activité 4.1.2.2.4. Mettre en place une unité  de transformation des PFNL dans l’espace de conservation de Tangassogo au profit de l’union des SCOOP KOUDJIGUI-TINA. </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bénéficiaires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13 240 000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402" w:hRule="atLeast"/>
        </w:trPr>
        <w:tc>
          <w:tcPr>
            <w:tcW w:w="2830" w:type="dxa"/>
            <w:tcBorders>
              <w:top w:val="nil"/>
              <w:left w:val="single" w:sz="4" w:space="0" w:color="auto"/>
              <w:bottom w:val="single" w:sz="4" w:space="0" w:color="auto"/>
              <w:right w:val="single" w:sz="4" w:space="0" w:color="auto"/>
            </w:tcBorders>
            <w:shd w:val="clear" w:color="000000" w:fill="d9d9d9"/>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Activités de renforcement des capacités d’adaptation aux activités et responsabilités dans les espaces de conservation de Kaya et Tangassogo</w:t>
            </w:r>
          </w:p>
        </w:tc>
        <w:tc>
          <w:tcPr>
            <w:tcW w:w="2127" w:type="dxa"/>
            <w:tcBorders>
              <w:top w:val="nil"/>
              <w:left w:val="nil"/>
              <w:bottom w:val="single" w:sz="4" w:space="0" w:color="auto"/>
              <w:right w:val="single" w:sz="4" w:space="0" w:color="auto"/>
            </w:tcBorders>
            <w:shd w:val="clear" w:color="000000" w:fill="d9d9d9"/>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559"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b/>
                <w:bCs/>
                <w:i/>
                <w:iCs/>
                <w:color w:val="000000"/>
                <w:sz w:val="18"/>
                <w:szCs w:val="18"/>
              </w:rPr>
            </w:pPr>
          </w:p>
        </w:tc>
        <w:tc>
          <w:tcPr>
            <w:tcW w:w="1417"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985" w:type="dxa"/>
            <w:tcBorders>
              <w:top w:val="nil"/>
              <w:left w:val="nil"/>
              <w:bottom w:val="single" w:sz="4" w:space="0" w:color="auto"/>
              <w:right w:val="single" w:sz="4" w:space="0" w:color="auto"/>
            </w:tcBorders>
            <w:shd w:val="clear" w:color="000000" w:fill="d9d9d9"/>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4.1.2.3.1 : Former 50 élus locaux et leaders villageois de la commune de Tiébélé sur la gouvernance locale et en législations environnementales</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2 375 000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4.1.2.3.2 : Organiser vingt (20) séances d'information et de sensibilisation sur la sécurisation foncière dans la commune de Tiébélé</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1 000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2 000 000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4.1.2.3.3. Former 300 producteurs en technique de plantation et entretien des espèces végétales dans l’espace de conservation de Kaya (villages de Kaya Fabolo, Kaya Kafor et Kaya Navio)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300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2 250 000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xml:space="preserve">Activité 4.1.2.3.4. Former 150 producteurs à la production et à l’utilisation du compost dans l’espace de conservation de Kaya (villages de Kaya Fabolo, Kaya Kafor et Kaya Navio) </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1 350 000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58"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4.1.2.3.5. Former 150 producteurs en technique de fauche et de conservation de fourrage naturel dans l’espace de conservation de Kaya  (villages de Kaya Fabolo, Kaya Kafor et Kaya Navio)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1 350 000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4.1.2.3.6. Former 20 producteurs en techniques apicoles modernes dans l’espace de conservation de Kaya.</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1 200 000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xml:space="preserve">Activité 4.1.2.3.7. Former 50 membres de la SCOOP KOUDJIGUI-TINA en techniques de production, de transformation et de commercialisation des PFNL </w:t>
            </w:r>
            <w:r>
              <w:rPr>
                <w:rFonts w:ascii="Century Gothic" w:cs="Calibri" w:hAnsi="Century Gothic"/>
                <w:color w:val="000000"/>
                <w:sz w:val="18"/>
                <w:szCs w:val="18"/>
              </w:rPr>
              <w:t>dans l’espace de conservation de Kaya</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1 650 000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200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4.2.2.3.1. Former 200 producteurs en technique de plantation et entretien des espèces végétales dans l’espace de conservation de Tangassogo (villages Ouédiabié-Tangassogo et Ourobié-Tangassogo)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200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1 650 000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908"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4.2.2.3.2. Former 100 producteurs à la production et à l’utilisation du compost dans l’espace de conservation de Tangassogo (villages Ouédiabié-Tangassogo et Ourobié-Tangassogo)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1 050 000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4.2.2.3.3. Former 100 producteurs en technique de fauche et de conservation de fourrage naturel dans l’espace de conservation de Tangassogo (villages Ouédiabié-Tangassogo et Ourobié-Tangassogo)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100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1 050 000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4.2.2.3.4. Former 40 producteurs en techniques apicoles modernes dans l’espace de conservation de Tangassogo.</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1 500 000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xml:space="preserve">Activité 4.1.2.3.5. Former 50 membres de la SCOOP KOUDJIGUI-TINA en techniques de production, de transformation et de commercialisation des PFNL dans l’espace de conservation de Tangassogo. </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1 030 000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76" w:hRule="atLeast"/>
        </w:trPr>
        <w:tc>
          <w:tcPr>
            <w:tcW w:w="2830" w:type="dxa"/>
            <w:tcBorders>
              <w:top w:val="nil"/>
              <w:left w:val="single" w:sz="4" w:space="0" w:color="auto"/>
              <w:bottom w:val="single" w:sz="4" w:space="0" w:color="auto"/>
              <w:right w:val="single" w:sz="4" w:space="0" w:color="auto"/>
            </w:tcBorders>
            <w:shd w:val="clear" w:color="000000" w:fill="d9d9d9"/>
            <w:vAlign w:val="center"/>
            <w:hideMark/>
          </w:tcPr>
          <w:p>
            <w:pPr>
              <w:pStyle w:val="style0"/>
              <w:jc w:val="both"/>
              <w:rPr>
                <w:rFonts w:ascii="Century Gothic" w:cs="Calibri" w:hAnsi="Century Gothic"/>
                <w:b/>
                <w:bCs/>
                <w:i/>
                <w:iCs/>
                <w:color w:val="000000"/>
                <w:sz w:val="18"/>
                <w:szCs w:val="18"/>
              </w:rPr>
            </w:pPr>
            <w:r>
              <w:rPr>
                <w:rFonts w:ascii="Century Gothic" w:cs="Calibri" w:hAnsi="Century Gothic"/>
                <w:b/>
                <w:bCs/>
                <w:i/>
                <w:iCs/>
                <w:color w:val="000000"/>
                <w:sz w:val="18"/>
                <w:szCs w:val="18"/>
              </w:rPr>
              <w:t>Suivi évaluation du PDIC/REDD+</w:t>
            </w:r>
          </w:p>
        </w:tc>
        <w:tc>
          <w:tcPr>
            <w:tcW w:w="2127" w:type="dxa"/>
            <w:tcBorders>
              <w:top w:val="nil"/>
              <w:left w:val="nil"/>
              <w:bottom w:val="single" w:sz="4" w:space="0" w:color="auto"/>
              <w:right w:val="single" w:sz="4" w:space="0" w:color="auto"/>
            </w:tcBorders>
            <w:shd w:val="clear" w:color="000000" w:fill="d9d9d9"/>
            <w:noWrap/>
            <w:vAlign w:val="bottom"/>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559"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p>
        </w:tc>
        <w:tc>
          <w:tcPr>
            <w:tcW w:w="1417" w:type="dxa"/>
            <w:tcBorders>
              <w:top w:val="nil"/>
              <w:left w:val="nil"/>
              <w:bottom w:val="single" w:sz="4" w:space="0" w:color="auto"/>
              <w:right w:val="single" w:sz="4" w:space="0" w:color="auto"/>
            </w:tcBorders>
            <w:shd w:val="clear" w:color="000000" w:fill="d9d9d9"/>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c>
          <w:tcPr>
            <w:tcW w:w="1985" w:type="dxa"/>
            <w:tcBorders>
              <w:top w:val="nil"/>
              <w:left w:val="nil"/>
              <w:bottom w:val="single" w:sz="4" w:space="0" w:color="auto"/>
              <w:right w:val="single" w:sz="4" w:space="0" w:color="auto"/>
            </w:tcBorders>
            <w:shd w:val="clear" w:color="000000" w:fill="d9d9d9"/>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4.4.1 Organiser l’atelier de lancement du PDIC/REDD+ de Tiébélé</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575 000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340"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4.4.2 Suivre la mise en œuvre du PDIC/REDD+ de Tiébélé</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300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2 900 000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4.4.3. Mettre en œuvre des mesures de sauvegarde environnementales et sociales du PDIC/REDD+ de Tiébélé</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5 750 000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r>
        <w:tblPrEx/>
        <w:trPr>
          <w:trHeight w:val="1044" w:hRule="atLeast"/>
        </w:trPr>
        <w:tc>
          <w:tcPr>
            <w:tcW w:w="2830" w:type="dxa"/>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4.4.4 Organiser l’atelier de capitalisation du PDIC/REDD+ de Tiébélé</w:t>
            </w:r>
          </w:p>
        </w:tc>
        <w:tc>
          <w:tcPr>
            <w:tcW w:w="212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Nombre de participants</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w:t>
            </w:r>
          </w:p>
        </w:tc>
        <w:tc>
          <w:tcPr>
            <w:tcW w:w="1417"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575 000</w:t>
            </w:r>
          </w:p>
        </w:tc>
        <w:tc>
          <w:tcPr>
            <w:tcW w:w="1985"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Disponibilité des acteurs locaux et des fonds</w:t>
            </w:r>
          </w:p>
        </w:tc>
      </w:tr>
    </w:tbl>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p>
    <w:bookmarkStart w:id="40" w:name="_Toc81733475"/>
    <w:bookmarkStart w:id="41" w:name="_Toc82046085"/>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 xml:space="preserve">4.7 Synthèse des activités par </w:t>
      </w:r>
      <w:bookmarkEnd w:id="40"/>
      <w:r>
        <w:rPr>
          <w:rFonts w:ascii="Century Gothic" w:hAnsi="Century Gothic"/>
          <w:szCs w:val="24"/>
        </w:rPr>
        <w:t>espace de conservation</w:t>
      </w:r>
      <w:bookmarkEnd w:id="41"/>
    </w:p>
    <w:p>
      <w:pPr>
        <w:pStyle w:val="style2"/>
        <w:numPr>
          <w:ilvl w:val="0"/>
          <w:numId w:val="0"/>
        </w:numPr>
        <w:tabs>
          <w:tab w:val="left" w:leader="none" w:pos="9214"/>
          <w:tab w:val="left" w:leader="none" w:pos="9639"/>
        </w:tabs>
        <w:rPr>
          <w:rFonts w:ascii="Century Gothic" w:hAnsi="Century Gothic"/>
          <w:szCs w:val="24"/>
        </w:rPr>
      </w:pPr>
    </w:p>
    <w:bookmarkStart w:id="42" w:name="_Toc82333837"/>
    <w:p>
      <w:pPr>
        <w:pStyle w:val="style34"/>
        <w:rPr>
          <w:rFonts w:ascii="Century Gothic" w:hAnsi="Century Gothic"/>
          <w:b w:val="false"/>
          <w:color w:val="auto"/>
          <w:sz w:val="22"/>
          <w:szCs w:val="22"/>
        </w:rPr>
      </w:pPr>
      <w:r>
        <w:rPr>
          <w:rFonts w:ascii="Century Gothic" w:hAnsi="Century Gothic"/>
          <w:b w:val="false"/>
          <w:color w:val="auto"/>
          <w:sz w:val="22"/>
          <w:szCs w:val="22"/>
        </w:rPr>
        <w:t xml:space="preserve">4.7.1. </w:t>
      </w:r>
      <w:r>
        <w:rPr>
          <w:rFonts w:ascii="Century Gothic" w:hAnsi="Century Gothic"/>
          <w:color w:val="auto"/>
          <w:sz w:val="22"/>
          <w:szCs w:val="22"/>
        </w:rPr>
        <w:t xml:space="preserve">Tableau </w:t>
      </w:r>
      <w:r>
        <w:rPr>
          <w:rFonts w:ascii="Century Gothic" w:hAnsi="Century Gothic"/>
          <w:color w:val="auto"/>
          <w:sz w:val="22"/>
          <w:szCs w:val="22"/>
        </w:rPr>
        <w:fldChar w:fldCharType="begin"/>
      </w:r>
      <w:r>
        <w:rPr>
          <w:rFonts w:ascii="Century Gothic" w:hAnsi="Century Gothic"/>
          <w:color w:val="auto"/>
          <w:sz w:val="22"/>
          <w:szCs w:val="22"/>
        </w:rPr>
        <w:instrText xml:space="preserve"> SEQ Tableau \* ROMAN </w:instrText>
      </w:r>
      <w:r>
        <w:rPr>
          <w:rFonts w:ascii="Century Gothic" w:hAnsi="Century Gothic"/>
          <w:color w:val="auto"/>
          <w:sz w:val="22"/>
          <w:szCs w:val="22"/>
        </w:rPr>
        <w:fldChar w:fldCharType="separate"/>
      </w:r>
      <w:r>
        <w:rPr>
          <w:rFonts w:ascii="Century Gothic" w:hAnsi="Century Gothic"/>
          <w:noProof/>
          <w:color w:val="auto"/>
          <w:sz w:val="22"/>
          <w:szCs w:val="22"/>
        </w:rPr>
        <w:t>V</w:t>
      </w:r>
      <w:r>
        <w:rPr>
          <w:rFonts w:ascii="Century Gothic" w:hAnsi="Century Gothic"/>
          <w:color w:val="auto"/>
          <w:sz w:val="22"/>
          <w:szCs w:val="22"/>
        </w:rPr>
        <w:fldChar w:fldCharType="end"/>
      </w:r>
      <w:r>
        <w:rPr>
          <w:rFonts w:ascii="Century Gothic" w:hAnsi="Century Gothic"/>
          <w:color w:val="auto"/>
          <w:sz w:val="22"/>
          <w:szCs w:val="22"/>
        </w:rPr>
        <w:t>: Activités de l’espace de conservation de Kaya</w:t>
      </w:r>
      <w:bookmarkEnd w:id="42"/>
    </w:p>
    <w:tbl>
      <w:tblPr>
        <w:tblW w:w="0" w:type="auto"/>
        <w:tblLayout w:type="fixed"/>
        <w:tblCellMar>
          <w:left w:w="70" w:type="dxa"/>
          <w:right w:w="70" w:type="dxa"/>
        </w:tblCellMar>
        <w:tblLook w:val="04A0" w:firstRow="1" w:lastRow="0" w:firstColumn="1" w:lastColumn="0" w:noHBand="0" w:noVBand="1"/>
      </w:tblPr>
      <w:tblGrid>
        <w:gridCol w:w="1408"/>
        <w:gridCol w:w="3969"/>
        <w:gridCol w:w="1276"/>
        <w:gridCol w:w="1559"/>
        <w:gridCol w:w="1425"/>
      </w:tblGrid>
      <w:tr>
        <w:trPr>
          <w:trHeight w:val="312" w:hRule="atLeast"/>
        </w:trPr>
        <w:tc>
          <w:tcPr>
            <w:tcW w:w="1408" w:type="dxa"/>
            <w:tcBorders>
              <w:top w:val="single" w:sz="8" w:space="0" w:color="auto"/>
              <w:left w:val="single" w:sz="8" w:space="0" w:color="auto"/>
              <w:bottom w:val="single" w:sz="8" w:space="0" w:color="auto"/>
              <w:right w:val="single" w:sz="8"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Composantes</w:t>
            </w:r>
          </w:p>
        </w:tc>
        <w:tc>
          <w:tcPr>
            <w:tcW w:w="3969" w:type="dxa"/>
            <w:tcBorders>
              <w:top w:val="single" w:sz="8" w:space="0" w:color="auto"/>
              <w:left w:val="nil"/>
              <w:bottom w:val="single" w:sz="8" w:space="0" w:color="auto"/>
              <w:right w:val="single" w:sz="8" w:space="0" w:color="auto"/>
            </w:tcBorders>
            <w:shd w:val="clear" w:color="auto" w:fill="auto"/>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Activités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Mode de passation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Montant estimé</w:t>
            </w:r>
          </w:p>
        </w:tc>
        <w:tc>
          <w:tcPr>
            <w:tcW w:w="1425"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Durée (mois)</w:t>
            </w:r>
          </w:p>
        </w:tc>
      </w:tr>
      <w:tr>
        <w:tblPrEx/>
        <w:trPr>
          <w:trHeight w:val="64" w:hRule="atLeast"/>
        </w:trPr>
        <w:tc>
          <w:tcPr>
            <w:tcW w:w="14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1.     Activités directement liée à la réduction des émissions de gaz à effet de serre dans la forêt de Kaya</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xml:space="preserve">Sous-Activité 4.1.2.1.1.1. Appuyer la production des plants dans l’espace de conservation de Kaya </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4 250 000</w:t>
            </w:r>
          </w:p>
        </w:tc>
        <w:tc>
          <w:tcPr>
            <w:tcW w:w="1425"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58" w:hRule="atLeast"/>
        </w:trPr>
        <w:tc>
          <w:tcPr>
            <w:tcW w:w="1408" w:type="dxa"/>
            <w:vMerge w:val="continue"/>
            <w:tcBorders>
              <w:top w:val="single" w:sz="4" w:space="0" w:color="auto"/>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Sous-Activité 4.1.2.1.1.2. Réaliser des plantations d’enrichissement/délimitation de la forêt de Kaya</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8 482 500</w:t>
            </w:r>
          </w:p>
        </w:tc>
        <w:tc>
          <w:tcPr>
            <w:tcW w:w="1425"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380" w:hRule="atLeast"/>
        </w:trPr>
        <w:tc>
          <w:tcPr>
            <w:tcW w:w="1408" w:type="dxa"/>
            <w:vMerge w:val="continue"/>
            <w:tcBorders>
              <w:top w:val="single" w:sz="4" w:space="0" w:color="auto"/>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Sous-Activité 4.1.2.1.1.3.  Réaliser des plantations individuelles dans les villages riverains dans l’espace de conservation de Kaya (villages de Kaya Fabolo, Kaya Kafor et Kaya Navio)</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6 750 000</w:t>
            </w:r>
          </w:p>
        </w:tc>
        <w:tc>
          <w:tcPr>
            <w:tcW w:w="1425"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58" w:hRule="atLeast"/>
        </w:trPr>
        <w:tc>
          <w:tcPr>
            <w:tcW w:w="1408" w:type="dxa"/>
            <w:vMerge w:val="continue"/>
            <w:tcBorders>
              <w:top w:val="single" w:sz="4" w:space="0" w:color="auto"/>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xml:space="preserve">Sous-Activité 4.1.2.1.1.4. Mettre en place un comité villageois de gestion de la forêt villageoise de Kaya. </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1425"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58" w:hRule="atLeast"/>
        </w:trPr>
        <w:tc>
          <w:tcPr>
            <w:tcW w:w="1408" w:type="dxa"/>
            <w:vMerge w:val="continue"/>
            <w:tcBorders>
              <w:top w:val="single" w:sz="4" w:space="0" w:color="auto"/>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xml:space="preserve">Sous-Activité 4.1.2.1.1.5. Former/ recycler 07 membres du comité de gestion / suivi de la charte sur leurs attributions dans l’espace de conservation de Kaya. </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1 650 000</w:t>
            </w:r>
          </w:p>
        </w:tc>
        <w:tc>
          <w:tcPr>
            <w:tcW w:w="1425"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58" w:hRule="atLeast"/>
        </w:trPr>
        <w:tc>
          <w:tcPr>
            <w:tcW w:w="1408" w:type="dxa"/>
            <w:vMerge w:val="continue"/>
            <w:tcBorders>
              <w:top w:val="single" w:sz="4" w:space="0" w:color="auto"/>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Sous-Activité 4.1.2.1.1.6. Elaborer une charte foncière locale de la forêt de Kaya</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2 100 000</w:t>
            </w:r>
          </w:p>
        </w:tc>
        <w:tc>
          <w:tcPr>
            <w:tcW w:w="1425"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58" w:hRule="atLeast"/>
        </w:trPr>
        <w:tc>
          <w:tcPr>
            <w:tcW w:w="1408" w:type="dxa"/>
            <w:vMerge w:val="continue"/>
            <w:tcBorders>
              <w:top w:val="single" w:sz="4" w:space="0" w:color="auto"/>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Sous-Activité 4.1.2.1.1.7. Appuyer le renouvellement et la formation des instances des commissions foncières villageoises,</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1 200 000</w:t>
            </w:r>
          </w:p>
        </w:tc>
        <w:tc>
          <w:tcPr>
            <w:tcW w:w="1425"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58" w:hRule="atLeast"/>
        </w:trPr>
        <w:tc>
          <w:tcPr>
            <w:tcW w:w="1408" w:type="dxa"/>
            <w:vMerge w:val="continue"/>
            <w:tcBorders>
              <w:top w:val="single" w:sz="4" w:space="0" w:color="auto"/>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Sous-Activité 4.1.2.1.1.8. Réaliser le bornage de la forêt villageoise de Kaya</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1 085 000</w:t>
            </w:r>
          </w:p>
        </w:tc>
        <w:tc>
          <w:tcPr>
            <w:tcW w:w="1425"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58" w:hRule="atLeast"/>
        </w:trPr>
        <w:tc>
          <w:tcPr>
            <w:tcW w:w="1408" w:type="dxa"/>
            <w:vMerge w:val="continue"/>
            <w:tcBorders>
              <w:top w:val="single" w:sz="4" w:space="0" w:color="auto"/>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xml:space="preserve">Sous-Activité 4.1.2.1.1.9. Confectionner et fixer cinq (5) panneaux d'information et de sensibilisation sur la forêt de Kaya </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300 000</w:t>
            </w:r>
          </w:p>
        </w:tc>
        <w:tc>
          <w:tcPr>
            <w:tcW w:w="1425"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300" w:hRule="atLeast"/>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3969"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Total 1</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26 317 500</w:t>
            </w:r>
          </w:p>
        </w:tc>
        <w:tc>
          <w:tcPr>
            <w:tcW w:w="1425"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286" w:hRule="atLeast"/>
        </w:trPr>
        <w:tc>
          <w:tcPr>
            <w:tcW w:w="1408" w:type="dxa"/>
            <w:vMerge w:val="restart"/>
            <w:tcBorders>
              <w:top w:val="nil"/>
              <w:left w:val="single" w:sz="4" w:space="0" w:color="auto"/>
              <w:bottom w:val="single" w:sz="4" w:space="0" w:color="000000"/>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 xml:space="preserve">4.1.2.2 Activités induites </w:t>
            </w:r>
            <w:r>
              <w:rPr>
                <w:rFonts w:ascii="Century Gothic" w:cs="Calibri" w:hAnsi="Century Gothic"/>
                <w:b/>
                <w:bCs/>
                <w:color w:val="000000"/>
                <w:sz w:val="18"/>
                <w:szCs w:val="18"/>
              </w:rPr>
              <w:t>d’amélioration des productivités et des revenus dans l’espace de conservation de Kaya</w:t>
            </w:r>
          </w:p>
        </w:tc>
        <w:tc>
          <w:tcPr>
            <w:tcW w:w="3969" w:type="dxa"/>
            <w:tcBorders>
              <w:top w:val="nil"/>
              <w:left w:val="nil"/>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xml:space="preserve">Activité 4.1.2.2.1. Appuyer 150 producteurs à la production et à l’utilisation du compost dans l’espace de conservation de Kaya </w:t>
            </w:r>
            <w:r>
              <w:rPr>
                <w:rFonts w:ascii="Century Gothic" w:cs="Calibri" w:hAnsi="Century Gothic"/>
                <w:color w:val="000000"/>
                <w:sz w:val="18"/>
                <w:szCs w:val="18"/>
              </w:rPr>
              <w:t>(villages de Kaya Fabolo, Kaya Kafor et Kaya Navio)</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3 525 000</w:t>
            </w:r>
          </w:p>
        </w:tc>
        <w:tc>
          <w:tcPr>
            <w:tcW w:w="1425"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115" w:hRule="atLeast"/>
        </w:trPr>
        <w:tc>
          <w:tcPr>
            <w:tcW w:w="1408" w:type="dxa"/>
            <w:vMerge w:val="continue"/>
            <w:tcBorders>
              <w:top w:val="nil"/>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4.1.2.2.2. Appuyer 150 producteurs la fauche et conservation du fourrage naturel dans les villages riverains de l‘espace de conservation de Kaya (villages de Kaya Fabolo, Kaya Kafor et Kaya Navio)</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22 875 000</w:t>
            </w:r>
          </w:p>
        </w:tc>
        <w:tc>
          <w:tcPr>
            <w:tcW w:w="1425"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407" w:hRule="atLeast"/>
        </w:trPr>
        <w:tc>
          <w:tcPr>
            <w:tcW w:w="1408" w:type="dxa"/>
            <w:vMerge w:val="continue"/>
            <w:tcBorders>
              <w:top w:val="nil"/>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4.1.2.2.3. Appuyer l’apiculture moderne au profit de 20 jeunes et femmes dans l’espace de conservation de Kaya (village de Kaya Navio)</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2 725 000</w:t>
            </w:r>
          </w:p>
        </w:tc>
        <w:tc>
          <w:tcPr>
            <w:tcW w:w="1425"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661" w:hRule="atLeast"/>
        </w:trPr>
        <w:tc>
          <w:tcPr>
            <w:tcW w:w="1408" w:type="dxa"/>
            <w:vMerge w:val="continue"/>
            <w:tcBorders>
              <w:top w:val="nil"/>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nil"/>
              <w:right w:val="nil"/>
            </w:tcBorders>
            <w:shd w:val="clear" w:color="auto" w:fill="auto"/>
            <w:noWrap/>
            <w:vAlign w:val="center"/>
            <w:hideMark/>
          </w:tcPr>
          <w:p>
            <w:pPr>
              <w:pStyle w:val="style0"/>
              <w:jc w:val="both"/>
              <w:rPr>
                <w:rFonts w:ascii="Century Gothic" w:cs="Calibri" w:hAnsi="Century Gothic"/>
                <w:i/>
                <w:iCs/>
                <w:color w:val="000000"/>
                <w:sz w:val="18"/>
                <w:szCs w:val="18"/>
              </w:rPr>
            </w:pPr>
            <w:r>
              <w:rPr>
                <w:rFonts w:ascii="Century Gothic" w:cs="Calibri" w:hAnsi="Century Gothic"/>
                <w:i/>
                <w:iCs/>
                <w:color w:val="000000"/>
                <w:sz w:val="18"/>
                <w:szCs w:val="18"/>
              </w:rPr>
              <w:t>Activité 4.1.2.2.4. Mettre en place une unité  de transformation des PFNL dans l’espace de conservation de Kaya au profit de la SCOOP KOUDJIGUI-TINA</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13 240 000</w:t>
            </w:r>
          </w:p>
        </w:tc>
        <w:tc>
          <w:tcPr>
            <w:tcW w:w="1425"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300" w:hRule="atLeast"/>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Total 2</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42 365 000</w:t>
            </w:r>
          </w:p>
        </w:tc>
        <w:tc>
          <w:tcPr>
            <w:tcW w:w="1425"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593" w:hRule="atLeast"/>
        </w:trPr>
        <w:tc>
          <w:tcPr>
            <w:tcW w:w="1408" w:type="dxa"/>
            <w:vMerge w:val="restart"/>
            <w:tcBorders>
              <w:top w:val="nil"/>
              <w:left w:val="single" w:sz="4" w:space="0" w:color="auto"/>
              <w:bottom w:val="single" w:sz="4" w:space="0" w:color="000000"/>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4.1.2.3. Activités de renforcement des capacités d’adaptation aux activités et responsabilités dans l’espace de conservation de Kaya</w:t>
            </w:r>
          </w:p>
        </w:tc>
        <w:tc>
          <w:tcPr>
            <w:tcW w:w="3969" w:type="dxa"/>
            <w:tcBorders>
              <w:top w:val="nil"/>
              <w:left w:val="nil"/>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4.1.2.3.1 : Former 50 élus locaux et leaders villageois de la commune de Tiébélé sur la gouvernance locale et en législations environnementales</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2 375 000</w:t>
            </w:r>
          </w:p>
        </w:tc>
        <w:tc>
          <w:tcPr>
            <w:tcW w:w="142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252" w:hRule="atLeast"/>
        </w:trPr>
        <w:tc>
          <w:tcPr>
            <w:tcW w:w="1408" w:type="dxa"/>
            <w:vMerge w:val="continue"/>
            <w:tcBorders>
              <w:top w:val="nil"/>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4.1.2.3.2 : Organiser vingt (20) séances d'information et de sensibilisation sur la sécurisation foncière dans la commune de Tiébélé</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2 000 000</w:t>
            </w:r>
          </w:p>
        </w:tc>
        <w:tc>
          <w:tcPr>
            <w:tcW w:w="142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505" w:hRule="atLeast"/>
        </w:trPr>
        <w:tc>
          <w:tcPr>
            <w:tcW w:w="1408" w:type="dxa"/>
            <w:vMerge w:val="continue"/>
            <w:tcBorders>
              <w:top w:val="nil"/>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4.1.2.3.3. Former 300 producteurs en technique de plantation et entretien des espèces végétales dans l’espace de conservation de Kaya (villages de Kaya Fabolo, Kaya Kafor et Kaya Navio)</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2 250 000</w:t>
            </w:r>
          </w:p>
        </w:tc>
        <w:tc>
          <w:tcPr>
            <w:tcW w:w="142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663" w:hRule="atLeast"/>
        </w:trPr>
        <w:tc>
          <w:tcPr>
            <w:tcW w:w="1408" w:type="dxa"/>
            <w:vMerge w:val="continue"/>
            <w:tcBorders>
              <w:top w:val="nil"/>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 xml:space="preserve">Activité 4.1.2.3.4. Former 150 producteurs à la production et à l’utilisation du compost dans l’espace de conservation de Kaya (villages de Kaya Fabolo, Kaya Kafor et Kaya Navio) </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1 350 000</w:t>
            </w:r>
          </w:p>
        </w:tc>
        <w:tc>
          <w:tcPr>
            <w:tcW w:w="142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58" w:hRule="atLeast"/>
        </w:trPr>
        <w:tc>
          <w:tcPr>
            <w:tcW w:w="1408" w:type="dxa"/>
            <w:vMerge w:val="continue"/>
            <w:tcBorders>
              <w:top w:val="nil"/>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4.1.2.3.5. Former 150 producteurs en technique de fauche et de conservation de fourrage naturel dans l’espace de conservation de Kaya  (villages de Kaya Fabolo, Kaya Kafor et Kaya Navio)</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1 350 000</w:t>
            </w:r>
          </w:p>
        </w:tc>
        <w:tc>
          <w:tcPr>
            <w:tcW w:w="142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900" w:hRule="atLeast"/>
        </w:trPr>
        <w:tc>
          <w:tcPr>
            <w:tcW w:w="1408" w:type="dxa"/>
            <w:vMerge w:val="continue"/>
            <w:tcBorders>
              <w:top w:val="nil"/>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4.1.2.3.6. Former 20 producteurs en techniques apicoles modernes dans l’espace de conservation de Kaya.</w:t>
            </w:r>
          </w:p>
        </w:tc>
        <w:tc>
          <w:tcPr>
            <w:tcW w:w="1276" w:type="dxa"/>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1 200 000</w:t>
            </w:r>
          </w:p>
        </w:tc>
        <w:tc>
          <w:tcPr>
            <w:tcW w:w="142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509" w:hRule="atLeast"/>
        </w:trPr>
        <w:tc>
          <w:tcPr>
            <w:tcW w:w="1408" w:type="dxa"/>
            <w:vMerge w:val="continue"/>
            <w:tcBorders>
              <w:top w:val="nil"/>
              <w:left w:val="single" w:sz="4" w:space="0" w:color="auto"/>
              <w:bottom w:val="single" w:sz="4" w:space="0" w:color="000000"/>
              <w:right w:val="single" w:sz="4" w:space="0" w:color="auto"/>
            </w:tcBorders>
            <w:vAlign w:val="center"/>
            <w:hideMark/>
          </w:tcPr>
          <w:p>
            <w:pPr>
              <w:pStyle w:val="style0"/>
              <w:rPr>
                <w:rFonts w:ascii="Century Gothic" w:cs="Calibri" w:hAnsi="Century Gothic"/>
                <w:b/>
                <w:bCs/>
                <w:color w:val="000000"/>
                <w:sz w:val="18"/>
                <w:szCs w:val="18"/>
              </w:rPr>
            </w:pPr>
          </w:p>
        </w:tc>
        <w:tc>
          <w:tcPr>
            <w:tcW w:w="3969" w:type="dxa"/>
            <w:tcBorders>
              <w:top w:val="nil"/>
              <w:left w:val="nil"/>
              <w:bottom w:val="nil"/>
              <w:right w:val="nil"/>
            </w:tcBorders>
            <w:shd w:val="clear" w:color="auto" w:fill="auto"/>
            <w:vAlign w:val="bottom"/>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xml:space="preserve">Activité 4.1.2.3.7. Former 50 membres de l’union des SCOOP KOUDJIGUI-TINA de Tiébélé en techniques de production, de transformation et de commercialisation des PFNL dans l’espace de conservation de Kaya. </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1559"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1 650 000</w:t>
            </w:r>
          </w:p>
        </w:tc>
        <w:tc>
          <w:tcPr>
            <w:tcW w:w="1425"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300" w:hRule="atLeast"/>
        </w:trPr>
        <w:tc>
          <w:tcPr>
            <w:tcW w:w="1408"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Total 2</w:t>
            </w:r>
          </w:p>
        </w:tc>
        <w:tc>
          <w:tcPr>
            <w:tcW w:w="1276"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12 175 000</w:t>
            </w:r>
          </w:p>
        </w:tc>
        <w:tc>
          <w:tcPr>
            <w:tcW w:w="1425" w:type="dxa"/>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300" w:hRule="atLeast"/>
        </w:trPr>
        <w:tc>
          <w:tcPr>
            <w:tcW w:w="1408" w:type="dxa"/>
            <w:tcBorders>
              <w:top w:val="nil"/>
              <w:left w:val="single" w:sz="4" w:space="0" w:color="auto"/>
              <w:bottom w:val="single" w:sz="4" w:space="0" w:color="auto"/>
              <w:right w:val="single" w:sz="4" w:space="0" w:color="auto"/>
            </w:tcBorders>
            <w:shd w:val="clear" w:color="000000" w:fill="92d050"/>
            <w:noWrap/>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Total général Espace de KAYA</w:t>
            </w:r>
          </w:p>
        </w:tc>
        <w:tc>
          <w:tcPr>
            <w:tcW w:w="3969" w:type="dxa"/>
            <w:tcBorders>
              <w:top w:val="nil"/>
              <w:left w:val="nil"/>
              <w:bottom w:val="single" w:sz="4" w:space="0" w:color="auto"/>
              <w:right w:val="single" w:sz="4" w:space="0" w:color="auto"/>
            </w:tcBorders>
            <w:shd w:val="clear" w:color="000000" w:fill="92d050"/>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276" w:type="dxa"/>
            <w:tcBorders>
              <w:top w:val="nil"/>
              <w:left w:val="nil"/>
              <w:bottom w:val="single" w:sz="4" w:space="0" w:color="auto"/>
              <w:right w:val="single" w:sz="4" w:space="0" w:color="auto"/>
            </w:tcBorders>
            <w:shd w:val="clear" w:color="000000" w:fill="92d050"/>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1559" w:type="dxa"/>
            <w:tcBorders>
              <w:top w:val="nil"/>
              <w:left w:val="nil"/>
              <w:bottom w:val="single" w:sz="4" w:space="0" w:color="auto"/>
              <w:right w:val="single" w:sz="4" w:space="0" w:color="auto"/>
            </w:tcBorders>
            <w:shd w:val="clear" w:color="000000" w:fill="92d050"/>
            <w:noWrap/>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80 857 500</w:t>
            </w:r>
          </w:p>
        </w:tc>
        <w:tc>
          <w:tcPr>
            <w:tcW w:w="1425" w:type="dxa"/>
            <w:tcBorders>
              <w:top w:val="nil"/>
              <w:left w:val="nil"/>
              <w:bottom w:val="single" w:sz="4" w:space="0" w:color="auto"/>
              <w:right w:val="single" w:sz="4" w:space="0" w:color="auto"/>
            </w:tcBorders>
            <w:shd w:val="clear" w:color="000000" w:fill="92d050"/>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bl>
    <w:p>
      <w:pPr>
        <w:pStyle w:val="style4253"/>
        <w:spacing w:after="0"/>
        <w:rPr>
          <w:rFonts w:ascii="Century Gothic" w:hAnsi="Century Gothic"/>
          <w:b w:val="false"/>
        </w:rPr>
      </w:pPr>
    </w:p>
    <w:p>
      <w:pPr>
        <w:pStyle w:val="style0"/>
        <w:spacing w:after="160" w:lineRule="auto" w:line="259"/>
        <w:rPr>
          <w:rFonts w:ascii="Century Gothic" w:hAnsi="Century Gothic"/>
          <w:i/>
          <w:szCs w:val="28"/>
        </w:rPr>
      </w:pPr>
      <w:r>
        <w:rPr>
          <w:rFonts w:ascii="Century Gothic" w:hAnsi="Century Gothic"/>
          <w:b/>
        </w:rPr>
        <w:br w:type="page"/>
      </w:r>
    </w:p>
    <w:p>
      <w:pPr>
        <w:pStyle w:val="style4253"/>
        <w:spacing w:after="0"/>
        <w:rPr>
          <w:rFonts w:ascii="Century Gothic" w:hAnsi="Century Gothic"/>
          <w:b w:val="false"/>
        </w:rPr>
      </w:pPr>
    </w:p>
    <w:bookmarkStart w:id="43" w:name="_Toc82333838"/>
    <w:p>
      <w:pPr>
        <w:pStyle w:val="style34"/>
        <w:rPr>
          <w:rFonts w:ascii="Century Gothic" w:hAnsi="Century Gothic"/>
          <w:color w:val="auto"/>
        </w:rPr>
      </w:pPr>
      <w:r>
        <w:rPr>
          <w:rFonts w:ascii="Century Gothic" w:hAnsi="Century Gothic"/>
          <w:color w:val="auto"/>
        </w:rPr>
        <w:t xml:space="preserve">4.7.2. </w:t>
      </w:r>
      <w:r>
        <w:rPr>
          <w:rFonts w:ascii="Century Gothic" w:hAnsi="Century Gothic"/>
          <w:color w:val="auto"/>
          <w:sz w:val="22"/>
          <w:szCs w:val="22"/>
        </w:rPr>
        <w:t xml:space="preserve">Tableau </w:t>
      </w:r>
      <w:r>
        <w:rPr>
          <w:rFonts w:ascii="Century Gothic" w:hAnsi="Century Gothic"/>
          <w:color w:val="auto"/>
          <w:sz w:val="22"/>
          <w:szCs w:val="22"/>
        </w:rPr>
        <w:fldChar w:fldCharType="begin"/>
      </w:r>
      <w:r>
        <w:rPr>
          <w:rFonts w:ascii="Century Gothic" w:hAnsi="Century Gothic"/>
          <w:color w:val="auto"/>
          <w:sz w:val="22"/>
          <w:szCs w:val="22"/>
        </w:rPr>
        <w:instrText xml:space="preserve"> SEQ Tableau \* ROMAN </w:instrText>
      </w:r>
      <w:r>
        <w:rPr>
          <w:rFonts w:ascii="Century Gothic" w:hAnsi="Century Gothic"/>
          <w:color w:val="auto"/>
          <w:sz w:val="22"/>
          <w:szCs w:val="22"/>
        </w:rPr>
        <w:fldChar w:fldCharType="separate"/>
      </w:r>
      <w:r>
        <w:rPr>
          <w:rFonts w:ascii="Century Gothic" w:hAnsi="Century Gothic"/>
          <w:noProof/>
          <w:color w:val="auto"/>
          <w:sz w:val="22"/>
          <w:szCs w:val="22"/>
        </w:rPr>
        <w:t>VI</w:t>
      </w:r>
      <w:r>
        <w:rPr>
          <w:rFonts w:ascii="Century Gothic" w:hAnsi="Century Gothic"/>
          <w:color w:val="auto"/>
          <w:sz w:val="22"/>
          <w:szCs w:val="22"/>
        </w:rPr>
        <w:fldChar w:fldCharType="end"/>
      </w:r>
      <w:r>
        <w:rPr>
          <w:rFonts w:ascii="Century Gothic" w:hAnsi="Century Gothic"/>
          <w:color w:val="auto"/>
          <w:sz w:val="22"/>
          <w:szCs w:val="22"/>
        </w:rPr>
        <w:t>: Activités de l’espace de conservation de Tangassogo</w:t>
      </w:r>
      <w:bookmarkEnd w:id="43"/>
    </w:p>
    <w:tbl>
      <w:tblPr>
        <w:tblW w:w="0" w:type="auto"/>
        <w:tblCellMar>
          <w:left w:w="70" w:type="dxa"/>
          <w:right w:w="70" w:type="dxa"/>
        </w:tblCellMar>
        <w:tblLook w:val="04A0" w:firstRow="1" w:lastRow="0" w:firstColumn="1" w:lastColumn="0" w:noHBand="0" w:noVBand="1"/>
      </w:tblPr>
      <w:tblGrid>
        <w:gridCol w:w="2547"/>
        <w:gridCol w:w="3153"/>
        <w:gridCol w:w="1766"/>
        <w:gridCol w:w="1241"/>
        <w:gridCol w:w="935"/>
      </w:tblGrid>
      <w:tr>
        <w:trPr>
          <w:trHeight w:val="340" w:hRule="atLeast"/>
          <w:tblHeader/>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Composantes</w:t>
            </w:r>
          </w:p>
        </w:tc>
        <w:tc>
          <w:tcPr>
            <w:tcW w:w="3153" w:type="dxa"/>
            <w:tcBorders>
              <w:top w:val="single" w:sz="4" w:space="0" w:color="auto"/>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b/>
                <w:bCs/>
                <w:color w:val="000000"/>
                <w:sz w:val="18"/>
                <w:szCs w:val="18"/>
              </w:rPr>
            </w:pPr>
            <w:r>
              <w:rPr>
                <w:rFonts w:ascii="Century Gothic" w:cs="Calibri" w:hAnsi="Century Gothic"/>
                <w:b/>
                <w:bCs/>
                <w:color w:val="000000"/>
                <w:sz w:val="18"/>
                <w:szCs w:val="18"/>
              </w:rPr>
              <w:t>Activités</w:t>
            </w:r>
          </w:p>
        </w:tc>
        <w:tc>
          <w:tcPr>
            <w:tcW w:w="0" w:type="auto"/>
            <w:tcBorders>
              <w:top w:val="single" w:sz="4" w:space="0" w:color="auto"/>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b/>
                <w:bCs/>
                <w:color w:val="000000"/>
                <w:sz w:val="18"/>
                <w:szCs w:val="18"/>
              </w:rPr>
            </w:pPr>
            <w:r>
              <w:rPr>
                <w:rFonts w:ascii="Century Gothic" w:cs="Calibri" w:hAnsi="Century Gothic"/>
                <w:b/>
                <w:bCs/>
                <w:color w:val="000000"/>
                <w:sz w:val="18"/>
                <w:szCs w:val="18"/>
              </w:rPr>
              <w:t>Mode de passation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Montant estimé</w:t>
            </w:r>
          </w:p>
        </w:tc>
        <w:tc>
          <w:tcPr>
            <w:tcW w:w="0" w:type="auto"/>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Durée (mois)</w:t>
            </w:r>
          </w:p>
        </w:tc>
      </w:tr>
      <w:tr>
        <w:tblPrEx/>
        <w:trPr>
          <w:trHeight w:val="912" w:hRule="atLeast"/>
        </w:trPr>
        <w:tc>
          <w:tcPr>
            <w:tcW w:w="2547"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1.     Activités directement liées à la réduction des émissions de gaz à effet de serre dans l'espace de conservation de Tangassogo</w:t>
            </w: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4.2.2.1.1.1. Réaliser des plantations d’enrichissement/délimitation de la forêt de 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3 757 500</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368" w:hRule="atLeast"/>
        </w:trPr>
        <w:tc>
          <w:tcPr>
            <w:tcW w:w="254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8"/>
                <w:szCs w:val="18"/>
              </w:rPr>
            </w:pP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4.2.2.1.1.2.  Réaliser des plantations individuelles dans les villages riverains dans l’espace de conservation Tangassogo (villages Ouédiabié-Tangassogo et Ourobié-Tangassogo).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4 500 000</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092" w:hRule="atLeast"/>
        </w:trPr>
        <w:tc>
          <w:tcPr>
            <w:tcW w:w="254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8"/>
                <w:szCs w:val="18"/>
              </w:rPr>
            </w:pP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4.2.2.1.1.3. Mettre en place un comité villageois de gestion dans l’espace de conservation 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500 000</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948" w:hRule="atLeast"/>
        </w:trPr>
        <w:tc>
          <w:tcPr>
            <w:tcW w:w="254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8"/>
                <w:szCs w:val="18"/>
              </w:rPr>
            </w:pP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4.2.2.1.1.4. Former/ recycler 07 membres du comité de gestion / suivi de la charte sur leurs attributions dans l’espace de conservation 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1 650 000</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840" w:hRule="atLeast"/>
        </w:trPr>
        <w:tc>
          <w:tcPr>
            <w:tcW w:w="254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8"/>
                <w:szCs w:val="18"/>
              </w:rPr>
            </w:pP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4.2.2.1.1.5. Elaborer une charte locale de gestion foncière de la forêt de 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2 850 000</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81" w:hRule="atLeast"/>
        </w:trPr>
        <w:tc>
          <w:tcPr>
            <w:tcW w:w="254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8"/>
                <w:szCs w:val="18"/>
              </w:rPr>
            </w:pP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4.2.2.1.1.6. Réaliser le bornage de la forêt communale de 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630 000</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996" w:hRule="atLeast"/>
        </w:trPr>
        <w:tc>
          <w:tcPr>
            <w:tcW w:w="254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8"/>
                <w:szCs w:val="18"/>
              </w:rPr>
            </w:pP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Sous-Activité 4.2.2.1.1.7. Confectionner et fixer cinq (5) de panneaux d'information et de sensibilisation sur la forêt de 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300 000</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456" w:hRule="atLeast"/>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b/>
                <w:bCs/>
                <w:color w:val="000000"/>
                <w:sz w:val="18"/>
                <w:szCs w:val="18"/>
              </w:rPr>
            </w:pPr>
            <w:r>
              <w:rPr>
                <w:rFonts w:ascii="Century Gothic" w:cs="Calibri" w:hAnsi="Century Gothic"/>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14 187 500</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368" w:hRule="atLeast"/>
        </w:trPr>
        <w:tc>
          <w:tcPr>
            <w:tcW w:w="2547"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4.2.2.2 Activités induites d’amélioration des productivités et des revenus dans l’espace de conservation de Tangassogo</w:t>
            </w: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4.2.2.2.1. Appuyer 100 producteurs à la production et à l’utilisation du compost dans l’espace de conservation de Tangassogo ((villages Ouédiabié-Tangassogo et Ourobié-Tangassogo)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2 475 000</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368" w:hRule="atLeast"/>
        </w:trPr>
        <w:tc>
          <w:tcPr>
            <w:tcW w:w="254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8"/>
                <w:szCs w:val="18"/>
              </w:rPr>
            </w:pP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4.2.2.2.2. Appuyer 100 producteurs la fauche et conservation du fourrage naturel dans les villages riverains de l‘espace de conservation Tangassogo (villages Ouédiabié-Tangassogo et Ourobié-Tangassogo)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15 375 000</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368" w:hRule="atLeast"/>
        </w:trPr>
        <w:tc>
          <w:tcPr>
            <w:tcW w:w="254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8"/>
                <w:szCs w:val="18"/>
              </w:rPr>
            </w:pP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4.2.2.2.3. Appuyer l’apiculture moderne au profit de 40 jeunes et femmes dans l’espace de conservation de Tangassogo (villages Ouédiabié-Tangassogo et Ourobié-Tangassogo)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4 700 000</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368" w:hRule="atLeast"/>
        </w:trPr>
        <w:tc>
          <w:tcPr>
            <w:tcW w:w="2547" w:type="dxa"/>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 </w:t>
            </w: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4.1.2.2.4. Mettre en place une unité  de transformation des PFNL dans l’espace de conservation de Tangassogo au profit de l’union des SCOOP KOUDJIGUI-TINA.</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13 240 000</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408" w:hRule="atLeast"/>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b/>
                <w:bCs/>
                <w:color w:val="000000"/>
                <w:sz w:val="18"/>
                <w:szCs w:val="18"/>
              </w:rPr>
            </w:pPr>
            <w:r>
              <w:rPr>
                <w:rFonts w:ascii="Century Gothic" w:cs="Calibri" w:hAnsi="Century Gothic"/>
                <w:b/>
                <w:bCs/>
                <w:color w:val="000000"/>
                <w:sz w:val="18"/>
                <w:szCs w:val="18"/>
              </w:rPr>
              <w:t>Total 2</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35 790 000</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368" w:hRule="atLeast"/>
        </w:trPr>
        <w:tc>
          <w:tcPr>
            <w:tcW w:w="2547" w:type="dxa"/>
            <w:vMerge w:val="restart"/>
            <w:tcBorders>
              <w:top w:val="nil"/>
              <w:left w:val="single" w:sz="4" w:space="0" w:color="auto"/>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4.2.2.3. Activités de renforcement des capacités d’adaptation aux activités et responsabilités dans l’espace de conservation de Tangassogo</w:t>
            </w: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4.2.2.3.1. Former 200 producteurs en technique de plantation et entretien des espèces végétales dans l’espace de conservation de Tangassogo (villages Ouédiabié-Tangassogo et Ourobié-Tangassogo)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1 650 000</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368" w:hRule="atLeast"/>
        </w:trPr>
        <w:tc>
          <w:tcPr>
            <w:tcW w:w="254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8"/>
                <w:szCs w:val="18"/>
              </w:rPr>
            </w:pP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4.2.2.3.2. Former 100 producteurs à la production et à l’utilisation du compost dans l’espace de conservation de Tangassogo (villages Ouédiabié-Tangassogo et Ourobié-Tangassogo)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1 050 000</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368" w:hRule="atLeast"/>
        </w:trPr>
        <w:tc>
          <w:tcPr>
            <w:tcW w:w="254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8"/>
                <w:szCs w:val="18"/>
              </w:rPr>
            </w:pP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4.2.2.3.3. Former 100 producteurs en technique de fauche et de conservation de fourrage naturel dans l’espace de conservation de Tangassogo (villages Ouédiabié-Tangassogo et Ourobié-Tangassogo)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1 050 000</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008" w:hRule="atLeast"/>
        </w:trPr>
        <w:tc>
          <w:tcPr>
            <w:tcW w:w="254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8"/>
                <w:szCs w:val="18"/>
              </w:rPr>
            </w:pP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4.2.2.3.4. Former 40 producteurs en techniques apicoles modernes dans l’espace de conservation de 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1 500 000</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1368" w:hRule="atLeast"/>
        </w:trPr>
        <w:tc>
          <w:tcPr>
            <w:tcW w:w="2547" w:type="dxa"/>
            <w:vMerge w:val="continue"/>
            <w:tcBorders>
              <w:top w:val="nil"/>
              <w:left w:val="single" w:sz="4" w:space="0" w:color="auto"/>
              <w:bottom w:val="single" w:sz="4" w:space="0" w:color="auto"/>
              <w:right w:val="single" w:sz="4" w:space="0" w:color="auto"/>
            </w:tcBorders>
            <w:vAlign w:val="center"/>
            <w:hideMark/>
          </w:tcPr>
          <w:p>
            <w:pPr>
              <w:pStyle w:val="style0"/>
              <w:rPr>
                <w:rFonts w:ascii="Century Gothic" w:cs="Calibri" w:hAnsi="Century Gothic"/>
                <w:b/>
                <w:bCs/>
                <w:color w:val="000000"/>
                <w:sz w:val="18"/>
                <w:szCs w:val="18"/>
              </w:rPr>
            </w:pP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Activité 4.1.2.3.5. Former 50 membres de l’union des SCOOP KOUDJIGUI-TINA de Tiébélé en techniques de production, de transformation et de commercialisation des PFNL dans l’espace de conservation de 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18"/>
                <w:szCs w:val="18"/>
              </w:rPr>
            </w:pPr>
            <w:r>
              <w:rPr>
                <w:rFonts w:ascii="Century Gothic" w:cs="Calibri" w:hAnsi="Century Gothic"/>
                <w:color w:val="000000"/>
                <w:sz w:val="18"/>
                <w:szCs w:val="18"/>
              </w:rPr>
              <w:t>Procédures de la commune</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1 030 000</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212" w:hRule="atLeast"/>
        </w:trPr>
        <w:tc>
          <w:tcPr>
            <w:tcW w:w="2547" w:type="dxa"/>
            <w:tcBorders>
              <w:top w:val="nil"/>
              <w:left w:val="single" w:sz="4"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c>
          <w:tcPr>
            <w:tcW w:w="3153" w:type="dxa"/>
            <w:tcBorders>
              <w:top w:val="nil"/>
              <w:left w:val="nil"/>
              <w:bottom w:val="single" w:sz="4" w:space="0" w:color="auto"/>
              <w:right w:val="single" w:sz="4" w:space="0" w:color="auto"/>
            </w:tcBorders>
            <w:shd w:val="clear" w:color="auto" w:fill="auto"/>
            <w:vAlign w:val="center"/>
            <w:hideMark/>
          </w:tcPr>
          <w:p>
            <w:pPr>
              <w:pStyle w:val="style0"/>
              <w:jc w:val="both"/>
              <w:rPr>
                <w:rFonts w:ascii="Century Gothic" w:cs="Calibri" w:hAnsi="Century Gothic"/>
                <w:b/>
                <w:bCs/>
                <w:color w:val="000000"/>
                <w:sz w:val="18"/>
                <w:szCs w:val="18"/>
              </w:rPr>
            </w:pPr>
            <w:r>
              <w:rPr>
                <w:rFonts w:ascii="Century Gothic" w:cs="Calibri" w:hAnsi="Century Gothic"/>
                <w:b/>
                <w:bCs/>
                <w:color w:val="000000"/>
                <w:sz w:val="18"/>
                <w:szCs w:val="18"/>
              </w:rPr>
              <w:t>Total 3</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both"/>
              <w:rPr>
                <w:rFonts w:ascii="Century Gothic" w:cs="Calibri" w:hAnsi="Century Gothic"/>
                <w:color w:val="000000"/>
                <w:sz w:val="18"/>
                <w:szCs w:val="18"/>
              </w:rPr>
            </w:pP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6 280 000</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r>
        <w:tblPrEx/>
        <w:trPr>
          <w:trHeight w:val="636" w:hRule="atLeast"/>
        </w:trPr>
        <w:tc>
          <w:tcPr>
            <w:tcW w:w="2547" w:type="dxa"/>
            <w:tcBorders>
              <w:top w:val="nil"/>
              <w:left w:val="single" w:sz="4" w:space="0" w:color="auto"/>
              <w:bottom w:val="single" w:sz="4" w:space="0" w:color="auto"/>
              <w:right w:val="single" w:sz="4" w:space="0" w:color="auto"/>
            </w:tcBorders>
            <w:shd w:val="clear" w:color="000000" w:fill="92d050"/>
            <w:noWrap/>
            <w:vAlign w:val="center"/>
            <w:hideMark/>
          </w:tcPr>
          <w:p>
            <w:pPr>
              <w:pStyle w:val="style0"/>
              <w:rPr>
                <w:rFonts w:ascii="Century Gothic" w:cs="Calibri" w:hAnsi="Century Gothic"/>
                <w:b/>
                <w:bCs/>
                <w:color w:val="000000"/>
                <w:sz w:val="18"/>
                <w:szCs w:val="18"/>
              </w:rPr>
            </w:pPr>
            <w:r>
              <w:rPr>
                <w:rFonts w:ascii="Century Gothic" w:cs="Calibri" w:hAnsi="Century Gothic"/>
                <w:b/>
                <w:bCs/>
                <w:color w:val="000000"/>
                <w:sz w:val="18"/>
                <w:szCs w:val="18"/>
              </w:rPr>
              <w:t>Total général espace de TANGASSOGO</w:t>
            </w:r>
          </w:p>
        </w:tc>
        <w:tc>
          <w:tcPr>
            <w:tcW w:w="3153" w:type="dxa"/>
            <w:tcBorders>
              <w:top w:val="nil"/>
              <w:left w:val="nil"/>
              <w:bottom w:val="single" w:sz="4" w:space="0" w:color="auto"/>
              <w:right w:val="single" w:sz="4" w:space="0" w:color="auto"/>
            </w:tcBorders>
            <w:shd w:val="clear" w:color="000000" w:fill="92d050"/>
            <w:vAlign w:val="center"/>
            <w:hideMark/>
          </w:tcPr>
          <w:p>
            <w:pPr>
              <w:pStyle w:val="style0"/>
              <w:jc w:val="both"/>
              <w:rPr>
                <w:rFonts w:ascii="Century Gothic" w:cs="Calibri" w:hAnsi="Century Gothic"/>
                <w:color w:val="000000"/>
                <w:sz w:val="18"/>
                <w:szCs w:val="18"/>
              </w:rPr>
            </w:pPr>
          </w:p>
        </w:tc>
        <w:tc>
          <w:tcPr>
            <w:tcW w:w="0" w:type="auto"/>
            <w:tcBorders>
              <w:top w:val="nil"/>
              <w:left w:val="nil"/>
              <w:bottom w:val="single" w:sz="4" w:space="0" w:color="auto"/>
              <w:right w:val="single" w:sz="4" w:space="0" w:color="auto"/>
            </w:tcBorders>
            <w:shd w:val="clear" w:color="000000" w:fill="92d050"/>
            <w:noWrap/>
            <w:vAlign w:val="center"/>
            <w:hideMark/>
          </w:tcPr>
          <w:p>
            <w:pPr>
              <w:pStyle w:val="style0"/>
              <w:jc w:val="both"/>
              <w:rPr>
                <w:rFonts w:ascii="Century Gothic" w:cs="Calibri" w:hAnsi="Century Gothic"/>
                <w:color w:val="000000"/>
                <w:sz w:val="18"/>
                <w:szCs w:val="18"/>
              </w:rPr>
            </w:pPr>
          </w:p>
        </w:tc>
        <w:tc>
          <w:tcPr>
            <w:tcW w:w="0" w:type="auto"/>
            <w:tcBorders>
              <w:top w:val="nil"/>
              <w:left w:val="nil"/>
              <w:bottom w:val="single" w:sz="4" w:space="0" w:color="auto"/>
              <w:right w:val="single" w:sz="4" w:space="0" w:color="auto"/>
            </w:tcBorders>
            <w:shd w:val="clear" w:color="000000" w:fill="92d050"/>
            <w:noWrap/>
            <w:vAlign w:val="center"/>
            <w:hideMark/>
          </w:tcPr>
          <w:p>
            <w:pPr>
              <w:pStyle w:val="style0"/>
              <w:jc w:val="center"/>
              <w:rPr>
                <w:rFonts w:ascii="Century Gothic" w:cs="Calibri" w:hAnsi="Century Gothic"/>
                <w:b/>
                <w:bCs/>
                <w:color w:val="000000"/>
                <w:sz w:val="18"/>
                <w:szCs w:val="18"/>
              </w:rPr>
            </w:pPr>
            <w:r>
              <w:rPr>
                <w:rFonts w:ascii="Century Gothic" w:cs="Calibri" w:hAnsi="Century Gothic"/>
                <w:b/>
                <w:bCs/>
                <w:color w:val="000000"/>
                <w:sz w:val="18"/>
                <w:szCs w:val="18"/>
              </w:rPr>
              <w:t>56 257 500</w:t>
            </w:r>
          </w:p>
        </w:tc>
        <w:tc>
          <w:tcPr>
            <w:tcW w:w="0" w:type="auto"/>
            <w:tcBorders>
              <w:top w:val="nil"/>
              <w:left w:val="nil"/>
              <w:bottom w:val="single" w:sz="4" w:space="0" w:color="auto"/>
              <w:right w:val="single" w:sz="4" w:space="0" w:color="auto"/>
            </w:tcBorders>
            <w:shd w:val="clear" w:color="000000" w:fill="92d050"/>
            <w:noWrap/>
            <w:vAlign w:val="center"/>
            <w:hideMark/>
          </w:tcPr>
          <w:p>
            <w:pPr>
              <w:pStyle w:val="style0"/>
              <w:rPr>
                <w:rFonts w:ascii="Century Gothic" w:cs="Calibri" w:hAnsi="Century Gothic"/>
                <w:color w:val="000000"/>
                <w:sz w:val="18"/>
                <w:szCs w:val="18"/>
              </w:rPr>
            </w:pPr>
            <w:r>
              <w:rPr>
                <w:rFonts w:ascii="Century Gothic" w:cs="Calibri" w:hAnsi="Century Gothic"/>
                <w:color w:val="000000"/>
                <w:sz w:val="18"/>
                <w:szCs w:val="18"/>
              </w:rPr>
              <w:t> </w:t>
            </w:r>
          </w:p>
        </w:tc>
      </w:tr>
    </w:tbl>
    <w:p>
      <w:pPr>
        <w:pStyle w:val="style0"/>
        <w:spacing w:after="160" w:lineRule="auto" w:line="259"/>
        <w:rPr>
          <w:rFonts w:ascii="Century Gothic" w:hAnsi="Century Gothic"/>
          <w:b/>
        </w:rPr>
      </w:pPr>
    </w:p>
    <w:p>
      <w:pPr>
        <w:pStyle w:val="style0"/>
        <w:spacing w:after="160" w:lineRule="auto" w:line="259"/>
        <w:rPr>
          <w:rFonts w:ascii="Century Gothic" w:hAnsi="Century Gothic"/>
          <w:i/>
          <w:szCs w:val="28"/>
        </w:rPr>
      </w:pPr>
      <w:r>
        <w:rPr>
          <w:rFonts w:ascii="Century Gothic" w:hAnsi="Century Gothic"/>
          <w:b/>
        </w:rPr>
        <w:br w:type="page"/>
      </w:r>
    </w:p>
    <w:bookmarkStart w:id="44" w:name="_Toc81733476"/>
    <w:bookmarkStart w:id="45" w:name="_Toc82046086"/>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4.8. Carte de localisation des investissements du PDIC/ REDD +  par site</w:t>
      </w:r>
      <w:bookmarkEnd w:id="44"/>
      <w:bookmarkEnd w:id="45"/>
    </w:p>
    <w:p>
      <w:pPr>
        <w:pStyle w:val="style0"/>
        <w:rPr>
          <w:rFonts w:ascii="Century Gothic" w:hAnsi="Century Gothic"/>
        </w:rPr>
      </w:pPr>
    </w:p>
    <w:p>
      <w:pPr>
        <w:pStyle w:val="style4253"/>
        <w:spacing w:after="0"/>
        <w:rPr>
          <w:rFonts w:ascii="Century Gothic" w:hAnsi="Century Gothic"/>
          <w:b w:val="false"/>
        </w:rPr>
      </w:pPr>
      <w:r>
        <w:rPr>
          <w:rFonts w:ascii="Century Gothic" w:hAnsi="Century Gothic"/>
          <w:b w:val="false"/>
        </w:rPr>
        <w:t>4.8.1. Localisation des investissements du PDIC/REDD+ dans l’espace de conservation de Kaya</w:t>
      </w:r>
    </w:p>
    <w:p>
      <w:pPr>
        <w:pStyle w:val="style0"/>
        <w:jc w:val="center"/>
        <w:rPr>
          <w:rFonts w:ascii="Century Gothic" w:hAnsi="Century Gothic"/>
        </w:rPr>
      </w:pPr>
      <w:r>
        <w:rPr>
          <w:rFonts w:ascii="Century Gothic" w:hAnsi="Century Gothic"/>
          <w:noProof/>
        </w:rPr>
        <w:drawing>
          <wp:inline distL="0" distT="0" distB="0" distR="0">
            <wp:extent cx="5543550" cy="7840563"/>
            <wp:effectExtent l="0" t="0" r="0" b="8255"/>
            <wp:docPr id="1038" name="Image 9" descr="F:\SIG\Consultation\GaMoWigna\Tiebele\Localisation_investissement_Kaya.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9"/>
                    <pic:cNvPicPr/>
                  </pic:nvPicPr>
                  <pic:blipFill>
                    <a:blip r:embed="rId13" cstate="print"/>
                    <a:srcRect l="0" t="0" r="0" b="0"/>
                    <a:stretch/>
                  </pic:blipFill>
                  <pic:spPr>
                    <a:xfrm rot="0">
                      <a:off x="0" y="0"/>
                      <a:ext cx="5543550" cy="7840563"/>
                    </a:xfrm>
                    <a:prstGeom prst="rect"/>
                    <a:ln>
                      <a:noFill/>
                    </a:ln>
                  </pic:spPr>
                </pic:pic>
              </a:graphicData>
            </a:graphic>
          </wp:inline>
        </w:drawing>
      </w:r>
    </w:p>
    <w:bookmarkStart w:id="46" w:name="_Toc82046049"/>
    <w:p>
      <w:pPr>
        <w:pStyle w:val="style34"/>
        <w:jc w:val="center"/>
        <w:rPr>
          <w:rFonts w:ascii="Century Gothic" w:hAnsi="Century Gothic"/>
          <w:color w:val="auto"/>
          <w:sz w:val="20"/>
          <w:szCs w:val="20"/>
        </w:rPr>
      </w:pPr>
      <w:r>
        <w:rPr>
          <w:rFonts w:ascii="Century Gothic" w:hAnsi="Century Gothic"/>
          <w:color w:val="auto"/>
          <w:sz w:val="20"/>
          <w:szCs w:val="20"/>
        </w:rPr>
        <w:t xml:space="preserve">Figure </w:t>
      </w:r>
      <w:r>
        <w:rPr>
          <w:rFonts w:ascii="Century Gothic" w:hAnsi="Century Gothic"/>
          <w:color w:val="auto"/>
          <w:sz w:val="20"/>
          <w:szCs w:val="20"/>
        </w:rPr>
        <w:fldChar w:fldCharType="begin"/>
      </w:r>
      <w:r>
        <w:rPr>
          <w:rFonts w:ascii="Century Gothic" w:hAnsi="Century Gothic"/>
          <w:color w:val="auto"/>
          <w:sz w:val="20"/>
          <w:szCs w:val="20"/>
        </w:rPr>
        <w:instrText xml:space="preserve"> SEQ Figure \* ARABIC </w:instrText>
      </w:r>
      <w:r>
        <w:rPr>
          <w:rFonts w:ascii="Century Gothic" w:hAnsi="Century Gothic"/>
          <w:color w:val="auto"/>
          <w:sz w:val="20"/>
          <w:szCs w:val="20"/>
        </w:rPr>
        <w:fldChar w:fldCharType="separate"/>
      </w:r>
      <w:r>
        <w:rPr>
          <w:rFonts w:ascii="Century Gothic" w:hAnsi="Century Gothic"/>
          <w:noProof/>
          <w:color w:val="auto"/>
          <w:sz w:val="20"/>
          <w:szCs w:val="20"/>
        </w:rPr>
        <w:t>5</w:t>
      </w:r>
      <w:r>
        <w:rPr>
          <w:rFonts w:ascii="Century Gothic" w:hAnsi="Century Gothic"/>
          <w:color w:val="auto"/>
          <w:sz w:val="20"/>
          <w:szCs w:val="20"/>
        </w:rPr>
        <w:fldChar w:fldCharType="end"/>
      </w:r>
      <w:r>
        <w:rPr>
          <w:rFonts w:ascii="Century Gothic" w:hAnsi="Century Gothic"/>
          <w:color w:val="auto"/>
          <w:sz w:val="20"/>
          <w:szCs w:val="20"/>
        </w:rPr>
        <w:t>: Localisation des investissements autour de l'espace de conservation de Kaya</w:t>
      </w:r>
      <w:bookmarkEnd w:id="46"/>
    </w:p>
    <w:p>
      <w:pPr>
        <w:pStyle w:val="style4253"/>
        <w:spacing w:after="0"/>
        <w:rPr>
          <w:rFonts w:ascii="Century Gothic" w:hAnsi="Century Gothic"/>
          <w:b w:val="false"/>
        </w:rPr>
      </w:pPr>
      <w:r>
        <w:rPr>
          <w:rFonts w:ascii="Century Gothic" w:hAnsi="Century Gothic"/>
          <w:b w:val="false"/>
        </w:rPr>
        <w:t>4.8.2. Localisation des investissements dans l’espace de conservation de Tangassogo</w:t>
      </w:r>
    </w:p>
    <w:p>
      <w:pPr>
        <w:pStyle w:val="style0"/>
        <w:jc w:val="center"/>
        <w:rPr>
          <w:rFonts w:ascii="Century Gothic" w:hAnsi="Century Gothic"/>
        </w:rPr>
      </w:pPr>
      <w:r>
        <w:rPr>
          <w:rFonts w:ascii="Century Gothic" w:hAnsi="Century Gothic"/>
          <w:noProof/>
        </w:rPr>
        <w:drawing>
          <wp:inline distL="0" distT="0" distB="0" distR="0">
            <wp:extent cx="6010275" cy="8500679"/>
            <wp:effectExtent l="0" t="0" r="0" b="0"/>
            <wp:docPr id="1039" name="Image 19" descr="F:\SIG\Consultation\GaMoWigna\Tiebele\Localisation_investissement_Tangassogo.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19"/>
                    <pic:cNvPicPr/>
                  </pic:nvPicPr>
                  <pic:blipFill>
                    <a:blip r:embed="rId14" cstate="print"/>
                    <a:srcRect l="0" t="0" r="0" b="0"/>
                    <a:stretch/>
                  </pic:blipFill>
                  <pic:spPr>
                    <a:xfrm rot="0">
                      <a:off x="0" y="0"/>
                      <a:ext cx="6010275" cy="8500679"/>
                    </a:xfrm>
                    <a:prstGeom prst="rect"/>
                    <a:ln>
                      <a:noFill/>
                    </a:ln>
                  </pic:spPr>
                </pic:pic>
              </a:graphicData>
            </a:graphic>
          </wp:inline>
        </w:drawing>
      </w:r>
    </w:p>
    <w:bookmarkStart w:id="47" w:name="_Toc82046050"/>
    <w:p>
      <w:pPr>
        <w:pStyle w:val="style34"/>
        <w:jc w:val="center"/>
        <w:rPr>
          <w:rFonts w:ascii="Century Gothic" w:hAnsi="Century Gothic"/>
          <w:color w:val="auto"/>
          <w:sz w:val="20"/>
          <w:szCs w:val="20"/>
        </w:rPr>
      </w:pPr>
      <w:r>
        <w:rPr>
          <w:rFonts w:ascii="Century Gothic" w:hAnsi="Century Gothic"/>
          <w:color w:val="auto"/>
          <w:sz w:val="20"/>
          <w:szCs w:val="20"/>
        </w:rPr>
        <w:t xml:space="preserve">Figure </w:t>
      </w:r>
      <w:r>
        <w:rPr>
          <w:rFonts w:ascii="Century Gothic" w:hAnsi="Century Gothic"/>
          <w:color w:val="auto"/>
          <w:sz w:val="20"/>
          <w:szCs w:val="20"/>
        </w:rPr>
        <w:fldChar w:fldCharType="begin"/>
      </w:r>
      <w:r>
        <w:rPr>
          <w:rFonts w:ascii="Century Gothic" w:hAnsi="Century Gothic"/>
          <w:color w:val="auto"/>
          <w:sz w:val="20"/>
          <w:szCs w:val="20"/>
        </w:rPr>
        <w:instrText xml:space="preserve"> SEQ Figure \* ARABIC </w:instrText>
      </w:r>
      <w:r>
        <w:rPr>
          <w:rFonts w:ascii="Century Gothic" w:hAnsi="Century Gothic"/>
          <w:color w:val="auto"/>
          <w:sz w:val="20"/>
          <w:szCs w:val="20"/>
        </w:rPr>
        <w:fldChar w:fldCharType="separate"/>
      </w:r>
      <w:r>
        <w:rPr>
          <w:rFonts w:ascii="Century Gothic" w:hAnsi="Century Gothic"/>
          <w:noProof/>
          <w:color w:val="auto"/>
          <w:sz w:val="20"/>
          <w:szCs w:val="20"/>
        </w:rPr>
        <w:t>6</w:t>
      </w:r>
      <w:r>
        <w:rPr>
          <w:rFonts w:ascii="Century Gothic" w:hAnsi="Century Gothic"/>
          <w:color w:val="auto"/>
          <w:sz w:val="20"/>
          <w:szCs w:val="20"/>
        </w:rPr>
        <w:fldChar w:fldCharType="end"/>
      </w:r>
      <w:r>
        <w:rPr>
          <w:rFonts w:ascii="Century Gothic" w:hAnsi="Century Gothic"/>
          <w:color w:val="auto"/>
          <w:sz w:val="20"/>
          <w:szCs w:val="20"/>
        </w:rPr>
        <w:t>: Localisation des investissements autour de l'espace de conservation de Tangassogo</w:t>
      </w:r>
      <w:bookmarkEnd w:id="47"/>
    </w:p>
    <w:p>
      <w:pPr>
        <w:pStyle w:val="style0"/>
        <w:tabs>
          <w:tab w:val="left" w:leader="none" w:pos="9214"/>
          <w:tab w:val="left" w:leader="none" w:pos="9639"/>
        </w:tabs>
        <w:rPr>
          <w:rFonts w:ascii="Century Gothic" w:hAnsi="Century Gothic"/>
          <w:b/>
          <w:bCs/>
          <w:iCs/>
        </w:rPr>
      </w:pPr>
    </w:p>
    <w:bookmarkStart w:id="48" w:name="_Toc82046087"/>
    <w:p>
      <w:pPr>
        <w:pStyle w:val="style1"/>
        <w:numPr>
          <w:ilvl w:val="0"/>
          <w:numId w:val="0"/>
        </w:numPr>
        <w:tabs>
          <w:tab w:val="left" w:leader="none" w:pos="9214"/>
          <w:tab w:val="left" w:leader="none" w:pos="9639"/>
        </w:tabs>
        <w:spacing w:before="0" w:after="0"/>
        <w:rPr>
          <w:rFonts w:ascii="Century Gothic" w:hAnsi="Century Gothic"/>
          <w:sz w:val="24"/>
          <w:szCs w:val="24"/>
        </w:rPr>
      </w:pPr>
      <w:r>
        <w:rPr>
          <w:rFonts w:ascii="Century Gothic" w:hAnsi="Century Gothic"/>
          <w:sz w:val="24"/>
          <w:szCs w:val="24"/>
        </w:rPr>
        <w:t xml:space="preserve">V. </w:t>
      </w:r>
      <w:r>
        <w:rPr>
          <w:rFonts w:ascii="Century Gothic" w:hAnsi="Century Gothic"/>
          <w:sz w:val="24"/>
          <w:szCs w:val="24"/>
        </w:rPr>
        <w:t>Résultats attendus</w:t>
      </w:r>
      <w:bookmarkEnd w:id="48"/>
    </w:p>
    <w:p>
      <w:pPr>
        <w:pStyle w:val="style0"/>
        <w:tabs>
          <w:tab w:val="left" w:leader="none" w:pos="9214"/>
          <w:tab w:val="left" w:leader="none" w:pos="9639"/>
        </w:tabs>
        <w:jc w:val="both"/>
        <w:rPr>
          <w:rFonts w:ascii="Century Gothic" w:hAnsi="Century Gothic"/>
          <w:b/>
          <w:u w:val="single"/>
        </w:rPr>
      </w:pPr>
    </w:p>
    <w:bookmarkStart w:id="49" w:name="_Toc82046088"/>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5.1  Résultats attendus en termes de bénéficiaires (directs et indirects) impactés par chacune des activités du PDIC REDD+</w:t>
      </w:r>
      <w:bookmarkEnd w:id="49"/>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Les bénéficiaires du projet sont à degrés divers, les différents acteurs directs ciblés. Il s’agit des membres de sociétés coopératives simplifiées constituées de femmes qui bénéficieront de formations techniques et de dotation en équipements </w:t>
      </w:r>
      <w:r>
        <w:rPr>
          <w:rFonts w:ascii="Century Gothic" w:hAnsi="Century Gothic"/>
        </w:rPr>
        <w:t>apicoles et avicoles. A</w:t>
      </w:r>
      <w:r>
        <w:rPr>
          <w:rFonts w:ascii="Century Gothic" w:hAnsi="Century Gothic"/>
        </w:rPr>
        <w:t xml:space="preserve"> cela, il faut ajouter, les membres des différents comités de gestion qui seront mis en place ainsi que le renforcement de leurs capacités.</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La méthodologie utilisée pour l’identification des bénéficiaires s’est reposée sur les échanges avec la CTC, les CVD et les </w:t>
      </w:r>
      <w:r>
        <w:rPr>
          <w:rFonts w:ascii="Century Gothic" w:hAnsi="Century Gothic"/>
        </w:rPr>
        <w:t>coopératives</w:t>
      </w:r>
      <w:r>
        <w:rPr>
          <w:rFonts w:ascii="Century Gothic" w:hAnsi="Century Gothic"/>
        </w:rPr>
        <w:t xml:space="preserve"> lors des missions exploratoires et d’investigation complémentaires.</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Le choix des bénéficiaires </w:t>
      </w:r>
      <w:r>
        <w:rPr>
          <w:rFonts w:ascii="Century Gothic" w:hAnsi="Century Gothic"/>
        </w:rPr>
        <w:t xml:space="preserve">directs a porté sur les populations qui vont bénéficier des investissements (formation, équipements, suivi conseil) et les bénéficiaires sont constitués de l’ensemble de la population des </w:t>
      </w:r>
      <w:r>
        <w:rPr>
          <w:rFonts w:ascii="Century Gothic" w:hAnsi="Century Gothic"/>
        </w:rPr>
        <w:t>6</w:t>
      </w:r>
      <w:r>
        <w:rPr>
          <w:rFonts w:ascii="Century Gothic" w:hAnsi="Century Gothic"/>
        </w:rPr>
        <w:t xml:space="preserve"> </w:t>
      </w:r>
      <w:r>
        <w:rPr>
          <w:rFonts w:ascii="Century Gothic" w:hAnsi="Century Gothic"/>
        </w:rPr>
        <w:t>villages</w:t>
      </w:r>
      <w:r>
        <w:rPr>
          <w:rFonts w:ascii="Century Gothic" w:hAnsi="Century Gothic"/>
        </w:rPr>
        <w:t xml:space="preserve"> </w:t>
      </w:r>
      <w:r>
        <w:rPr>
          <w:rFonts w:ascii="Century Gothic" w:cs="Calibri" w:hAnsi="Century Gothic"/>
          <w:color w:val="000000"/>
        </w:rPr>
        <w:t>(villages de Kaya Fabolo, Kaya Kafor et Kaya Navio)</w:t>
      </w:r>
      <w:r>
        <w:rPr>
          <w:rFonts w:ascii="Century Gothic" w:hAnsi="Century Gothic"/>
        </w:rPr>
        <w:t xml:space="preserve"> </w:t>
      </w:r>
      <w:r>
        <w:rPr>
          <w:rFonts w:ascii="Century Gothic" w:hAnsi="Century Gothic"/>
        </w:rPr>
        <w:t xml:space="preserve">dans l’espace de Kaya et les </w:t>
      </w:r>
      <w:r>
        <w:rPr>
          <w:rFonts w:ascii="Century Gothic" w:cs="Calibri" w:hAnsi="Century Gothic"/>
          <w:color w:val="000000"/>
        </w:rPr>
        <w:t>villages Ouédiabié-Tangassogo et Ourobié-Tangassogo</w:t>
      </w:r>
      <w:r>
        <w:rPr>
          <w:rFonts w:ascii="Century Gothic" w:hAnsi="Century Gothic"/>
        </w:rPr>
        <w:t xml:space="preserve"> dans l’espace de Tangassogo </w:t>
      </w:r>
      <w:r>
        <w:rPr>
          <w:rFonts w:ascii="Century Gothic" w:hAnsi="Century Gothic"/>
        </w:rPr>
        <w:t>qui valoriseront les connaissances des bénéficiaires directs dans leurs activités</w:t>
      </w:r>
      <w:r>
        <w:rPr>
          <w:rFonts w:ascii="Century Gothic" w:hAnsi="Century Gothic"/>
        </w:rPr>
        <w:t xml:space="preserve"> d’amélioration des productivités.  </w:t>
      </w:r>
    </w:p>
    <w:p>
      <w:pPr>
        <w:pStyle w:val="style0"/>
        <w:tabs>
          <w:tab w:val="left" w:leader="none" w:pos="9214"/>
          <w:tab w:val="left" w:leader="none" w:pos="9639"/>
        </w:tabs>
        <w:jc w:val="both"/>
        <w:rPr>
          <w:rFonts w:ascii="Century Gothic" w:hAnsi="Century Gothic"/>
        </w:rPr>
      </w:pPr>
    </w:p>
    <w:bookmarkStart w:id="50" w:name="_Toc82333839"/>
    <w:p>
      <w:pPr>
        <w:pStyle w:val="style34"/>
        <w:rPr>
          <w:rFonts w:ascii="Century Gothic" w:hAnsi="Century Gothic"/>
          <w:color w:val="auto"/>
          <w:sz w:val="22"/>
          <w:szCs w:val="22"/>
        </w:rPr>
      </w:pPr>
      <w:r>
        <w:rPr>
          <w:rFonts w:ascii="Century Gothic" w:hAnsi="Century Gothic"/>
          <w:color w:val="auto"/>
          <w:sz w:val="22"/>
          <w:szCs w:val="22"/>
        </w:rPr>
        <w:t xml:space="preserve">Tableau </w:t>
      </w:r>
      <w:r>
        <w:rPr>
          <w:rFonts w:ascii="Century Gothic" w:hAnsi="Century Gothic"/>
          <w:color w:val="auto"/>
          <w:sz w:val="22"/>
          <w:szCs w:val="22"/>
        </w:rPr>
        <w:fldChar w:fldCharType="begin"/>
      </w:r>
      <w:r>
        <w:rPr>
          <w:rFonts w:ascii="Century Gothic" w:hAnsi="Century Gothic"/>
          <w:color w:val="auto"/>
          <w:sz w:val="22"/>
          <w:szCs w:val="22"/>
        </w:rPr>
        <w:instrText xml:space="preserve"> SEQ Tableau \* ROMAN </w:instrText>
      </w:r>
      <w:r>
        <w:rPr>
          <w:rFonts w:ascii="Century Gothic" w:hAnsi="Century Gothic"/>
          <w:color w:val="auto"/>
          <w:sz w:val="22"/>
          <w:szCs w:val="22"/>
        </w:rPr>
        <w:fldChar w:fldCharType="separate"/>
      </w:r>
      <w:r>
        <w:rPr>
          <w:rFonts w:ascii="Century Gothic" w:hAnsi="Century Gothic"/>
          <w:noProof/>
          <w:color w:val="auto"/>
          <w:sz w:val="22"/>
          <w:szCs w:val="22"/>
        </w:rPr>
        <w:t>VII</w:t>
      </w:r>
      <w:r>
        <w:rPr>
          <w:rFonts w:ascii="Century Gothic" w:hAnsi="Century Gothic"/>
          <w:color w:val="auto"/>
          <w:sz w:val="22"/>
          <w:szCs w:val="22"/>
        </w:rPr>
        <w:fldChar w:fldCharType="end"/>
      </w:r>
      <w:r>
        <w:rPr>
          <w:rFonts w:ascii="Century Gothic" w:hAnsi="Century Gothic"/>
          <w:color w:val="auto"/>
          <w:sz w:val="22"/>
          <w:szCs w:val="22"/>
        </w:rPr>
        <w:t>: Bénéficiaires du PDIC/REDD+</w:t>
      </w:r>
      <w:bookmarkEnd w:id="50"/>
    </w:p>
    <w:p>
      <w:pPr>
        <w:pStyle w:val="style0"/>
        <w:rPr>
          <w:rFonts w:ascii="Century Gothic" w:hAnsi="Century Gothic"/>
        </w:rPr>
      </w:pPr>
    </w:p>
    <w:tbl>
      <w:tblPr>
        <w:tblW w:w="101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01"/>
        <w:gridCol w:w="4111"/>
        <w:gridCol w:w="1276"/>
        <w:gridCol w:w="992"/>
        <w:gridCol w:w="1028"/>
        <w:gridCol w:w="992"/>
      </w:tblGrid>
      <w:tr>
        <w:trPr>
          <w:trHeight w:val="504" w:hRule="atLeast"/>
          <w:tblHeader/>
        </w:trPr>
        <w:tc>
          <w:tcPr>
            <w:tcW w:w="1701" w:type="dxa"/>
            <w:tcBorders/>
            <w:shd w:val="clear" w:color="000000" w:fill="d9d9d9"/>
            <w:vAlign w:val="center"/>
            <w:hideMark/>
          </w:tcPr>
          <w:p>
            <w:pPr>
              <w:pStyle w:val="style0"/>
              <w:rPr>
                <w:rFonts w:ascii="Century Gothic" w:cs="Calibri" w:hAnsi="Century Gothic"/>
                <w:b/>
                <w:bCs/>
                <w:color w:val="000000"/>
                <w:sz w:val="20"/>
                <w:szCs w:val="20"/>
              </w:rPr>
            </w:pPr>
            <w:r>
              <w:rPr>
                <w:rFonts w:ascii="Century Gothic" w:cs="Calibri" w:hAnsi="Century Gothic"/>
                <w:b/>
                <w:bCs/>
                <w:color w:val="000000"/>
                <w:sz w:val="20"/>
                <w:szCs w:val="20"/>
              </w:rPr>
              <w:t>Type d’activité</w:t>
            </w:r>
          </w:p>
        </w:tc>
        <w:tc>
          <w:tcPr>
            <w:tcW w:w="4111" w:type="dxa"/>
            <w:tcBorders/>
            <w:shd w:val="clear" w:color="000000" w:fill="d9d9d9"/>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Référence Activité</w:t>
            </w:r>
          </w:p>
        </w:tc>
        <w:tc>
          <w:tcPr>
            <w:tcW w:w="4288" w:type="dxa"/>
            <w:gridSpan w:val="4"/>
            <w:tcBorders/>
            <w:shd w:val="clear" w:color="000000" w:fill="d9d9d9"/>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Bénéficiaires</w:t>
            </w:r>
          </w:p>
        </w:tc>
      </w:tr>
      <w:tr>
        <w:tblPrEx/>
        <w:trPr>
          <w:trHeight w:val="684" w:hRule="atLeast"/>
          <w:tblHeader/>
        </w:trPr>
        <w:tc>
          <w:tcPr>
            <w:tcW w:w="1701" w:type="dxa"/>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 </w:t>
            </w:r>
          </w:p>
        </w:tc>
        <w:tc>
          <w:tcPr>
            <w:tcW w:w="4111" w:type="dxa"/>
            <w:tcBorders/>
            <w:shd w:val="clear" w:color="auto" w:fill="auto"/>
            <w:vAlign w:val="center"/>
            <w:hideMark/>
          </w:tcPr>
          <w:p>
            <w:pPr>
              <w:pStyle w:val="style0"/>
              <w:jc w:val="both"/>
              <w:rPr>
                <w:rFonts w:ascii="Century Gothic" w:cs="Calibri" w:hAnsi="Century Gothic"/>
                <w:b/>
                <w:bCs/>
                <w:color w:val="000000"/>
                <w:sz w:val="20"/>
                <w:szCs w:val="20"/>
              </w:rPr>
            </w:pPr>
            <w:r>
              <w:rPr>
                <w:rFonts w:ascii="Century Gothic" w:cs="Calibri" w:hAnsi="Century Gothic"/>
                <w:b/>
                <w:bCs/>
                <w:color w:val="000000"/>
                <w:sz w:val="20"/>
                <w:szCs w:val="20"/>
              </w:rPr>
              <w:t> </w:t>
            </w:r>
          </w:p>
        </w:tc>
        <w:tc>
          <w:tcPr>
            <w:tcW w:w="1276" w:type="dxa"/>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H</w:t>
            </w:r>
          </w:p>
        </w:tc>
        <w:tc>
          <w:tcPr>
            <w:tcW w:w="992" w:type="dxa"/>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F</w:t>
            </w:r>
          </w:p>
        </w:tc>
        <w:tc>
          <w:tcPr>
            <w:tcW w:w="1028" w:type="dxa"/>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Pop.Vulnérables</w:t>
            </w:r>
          </w:p>
        </w:tc>
        <w:tc>
          <w:tcPr>
            <w:tcW w:w="992" w:type="dxa"/>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Total</w:t>
            </w:r>
          </w:p>
        </w:tc>
      </w:tr>
      <w:tr>
        <w:tblPrEx/>
        <w:trPr>
          <w:trHeight w:val="912" w:hRule="atLeast"/>
        </w:trPr>
        <w:tc>
          <w:tcPr>
            <w:tcW w:w="1701" w:type="dxa"/>
            <w:vMerge w:val="restart"/>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1.     Activités directement liée à la réduction des émissions de gaz à effet de serre dans la forêt de Kaya</w:t>
            </w: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4.1.2.1.1.1. Appuyer la production des plants dans l’espace de conservation de Kaya </w:t>
            </w:r>
          </w:p>
        </w:tc>
        <w:tc>
          <w:tcPr>
            <w:tcW w:w="1276"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w:t>
            </w:r>
          </w:p>
        </w:tc>
      </w:tr>
      <w:tr>
        <w:tblPrEx/>
        <w:trPr>
          <w:trHeight w:val="720"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4.1.2.1.1.2. Réaliser des plantations d’enrichissement/délimitation de la forêt de Kaya</w:t>
            </w:r>
          </w:p>
        </w:tc>
        <w:tc>
          <w:tcPr>
            <w:tcW w:w="1276" w:type="dxa"/>
            <w:tcBorders/>
            <w:shd w:val="clear" w:color="auto" w:fill="auto"/>
            <w:noWrap/>
            <w:vAlign w:val="center"/>
            <w:hideMark/>
          </w:tcPr>
          <w:p>
            <w:pPr>
              <w:pStyle w:val="style0"/>
              <w:jc w:val="center"/>
              <w:rPr>
                <w:rFonts w:ascii="Century Gothic" w:cs="Calibri" w:hAnsi="Century Gothic"/>
                <w:sz w:val="20"/>
                <w:szCs w:val="20"/>
              </w:rPr>
            </w:pPr>
            <w:r>
              <w:rPr>
                <w:rFonts w:ascii="Century Gothic" w:cs="Calibri" w:hAnsi="Century Gothic"/>
                <w:sz w:val="20"/>
                <w:szCs w:val="20"/>
              </w:rPr>
              <w:t>1635</w:t>
            </w:r>
          </w:p>
        </w:tc>
        <w:tc>
          <w:tcPr>
            <w:tcW w:w="992" w:type="dxa"/>
            <w:tcBorders/>
            <w:shd w:val="clear" w:color="auto" w:fill="auto"/>
            <w:noWrap/>
            <w:vAlign w:val="center"/>
            <w:hideMark/>
          </w:tcPr>
          <w:p>
            <w:pPr>
              <w:pStyle w:val="style0"/>
              <w:jc w:val="center"/>
              <w:rPr>
                <w:rFonts w:ascii="Century Gothic" w:cs="Calibri" w:hAnsi="Century Gothic"/>
                <w:sz w:val="20"/>
                <w:szCs w:val="20"/>
              </w:rPr>
            </w:pPr>
            <w:r>
              <w:rPr>
                <w:rFonts w:ascii="Century Gothic" w:cs="Calibri" w:hAnsi="Century Gothic"/>
                <w:sz w:val="20"/>
                <w:szCs w:val="20"/>
              </w:rPr>
              <w:t>1793</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3428</w:t>
            </w:r>
          </w:p>
        </w:tc>
      </w:tr>
      <w:tr>
        <w:tblPrEx/>
        <w:trPr>
          <w:trHeight w:val="912"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4.1.2.1.1.3.  Réaliser des plantations individuelles dans les villages riverains dans l’espace de conservation de Kaya (villages de Kaya Fabolo, Kaya Kafor et Kaya Navio)</w:t>
            </w:r>
          </w:p>
        </w:tc>
        <w:tc>
          <w:tcPr>
            <w:tcW w:w="1276" w:type="dxa"/>
            <w:tcBorders/>
            <w:shd w:val="clear" w:color="000000" w:fill="d9d9d9"/>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300</w:t>
            </w:r>
          </w:p>
        </w:tc>
        <w:tc>
          <w:tcPr>
            <w:tcW w:w="992" w:type="dxa"/>
            <w:tcBorders/>
            <w:shd w:val="clear" w:color="000000" w:fill="d9d9d9"/>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150</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450</w:t>
            </w:r>
          </w:p>
        </w:tc>
      </w:tr>
      <w:tr>
        <w:tblPrEx/>
        <w:trPr>
          <w:trHeight w:val="768"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4.1.2.1.1.4. Mettre en place un comité villageois de gestion de la forêt villageoise de Kaya. </w:t>
            </w:r>
          </w:p>
        </w:tc>
        <w:tc>
          <w:tcPr>
            <w:tcW w:w="1276" w:type="dxa"/>
            <w:tcBorders/>
            <w:shd w:val="clear" w:color="auto" w:fill="auto"/>
            <w:noWrap/>
            <w:vAlign w:val="center"/>
            <w:hideMark/>
          </w:tcPr>
          <w:p>
            <w:pPr>
              <w:pStyle w:val="style0"/>
              <w:jc w:val="center"/>
              <w:rPr>
                <w:rFonts w:ascii="Century Gothic" w:cs="Calibri" w:hAnsi="Century Gothic"/>
                <w:sz w:val="20"/>
                <w:szCs w:val="20"/>
              </w:rPr>
            </w:pPr>
            <w:r>
              <w:rPr>
                <w:rFonts w:ascii="Century Gothic" w:cs="Calibri" w:hAnsi="Century Gothic"/>
                <w:sz w:val="20"/>
                <w:szCs w:val="20"/>
              </w:rPr>
              <w:t>1635</w:t>
            </w:r>
          </w:p>
        </w:tc>
        <w:tc>
          <w:tcPr>
            <w:tcW w:w="992" w:type="dxa"/>
            <w:tcBorders/>
            <w:shd w:val="clear" w:color="auto" w:fill="auto"/>
            <w:noWrap/>
            <w:vAlign w:val="center"/>
            <w:hideMark/>
          </w:tcPr>
          <w:p>
            <w:pPr>
              <w:pStyle w:val="style0"/>
              <w:jc w:val="center"/>
              <w:rPr>
                <w:rFonts w:ascii="Century Gothic" w:cs="Calibri" w:hAnsi="Century Gothic"/>
                <w:sz w:val="20"/>
                <w:szCs w:val="20"/>
              </w:rPr>
            </w:pPr>
            <w:r>
              <w:rPr>
                <w:rFonts w:ascii="Century Gothic" w:cs="Calibri" w:hAnsi="Century Gothic"/>
                <w:sz w:val="20"/>
                <w:szCs w:val="20"/>
              </w:rPr>
              <w:t>1793</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3428</w:t>
            </w:r>
          </w:p>
        </w:tc>
      </w:tr>
      <w:tr>
        <w:tblPrEx/>
        <w:trPr>
          <w:trHeight w:val="912"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4.1.2.1.1.5. Former/ recycler 07 membres du comité de gestion / suivi de la charte sur leurs attributions dans l’espace de conservation de Kaya. </w:t>
            </w:r>
          </w:p>
        </w:tc>
        <w:tc>
          <w:tcPr>
            <w:tcW w:w="1276"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6</w:t>
            </w:r>
          </w:p>
        </w:tc>
        <w:tc>
          <w:tcPr>
            <w:tcW w:w="99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7</w:t>
            </w:r>
          </w:p>
        </w:tc>
      </w:tr>
      <w:tr>
        <w:tblPrEx/>
        <w:trPr>
          <w:trHeight w:val="684"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4.1.2.1.1.6. Elaborer une charte foncière locale de la forêt de Kaya</w:t>
            </w:r>
          </w:p>
        </w:tc>
        <w:tc>
          <w:tcPr>
            <w:tcW w:w="1276" w:type="dxa"/>
            <w:tcBorders/>
            <w:shd w:val="clear" w:color="auto" w:fill="auto"/>
            <w:noWrap/>
            <w:vAlign w:val="center"/>
            <w:hideMark/>
          </w:tcPr>
          <w:p>
            <w:pPr>
              <w:pStyle w:val="style0"/>
              <w:jc w:val="center"/>
              <w:rPr>
                <w:rFonts w:ascii="Century Gothic" w:cs="Calibri" w:hAnsi="Century Gothic"/>
                <w:sz w:val="20"/>
                <w:szCs w:val="20"/>
              </w:rPr>
            </w:pPr>
            <w:r>
              <w:rPr>
                <w:rFonts w:ascii="Century Gothic" w:cs="Calibri" w:hAnsi="Century Gothic"/>
                <w:sz w:val="20"/>
                <w:szCs w:val="20"/>
              </w:rPr>
              <w:t>1635</w:t>
            </w:r>
          </w:p>
        </w:tc>
        <w:tc>
          <w:tcPr>
            <w:tcW w:w="992" w:type="dxa"/>
            <w:tcBorders/>
            <w:shd w:val="clear" w:color="auto" w:fill="auto"/>
            <w:noWrap/>
            <w:vAlign w:val="center"/>
            <w:hideMark/>
          </w:tcPr>
          <w:p>
            <w:pPr>
              <w:pStyle w:val="style0"/>
              <w:jc w:val="center"/>
              <w:rPr>
                <w:rFonts w:ascii="Century Gothic" w:cs="Calibri" w:hAnsi="Century Gothic"/>
                <w:sz w:val="20"/>
                <w:szCs w:val="20"/>
              </w:rPr>
            </w:pPr>
            <w:r>
              <w:rPr>
                <w:rFonts w:ascii="Century Gothic" w:cs="Calibri" w:hAnsi="Century Gothic"/>
                <w:sz w:val="20"/>
                <w:szCs w:val="20"/>
              </w:rPr>
              <w:t>1793</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3428</w:t>
            </w:r>
          </w:p>
        </w:tc>
      </w:tr>
      <w:tr>
        <w:tblPrEx/>
        <w:trPr>
          <w:trHeight w:val="660"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4.1.2.1.1.7. Appuyer le renouvellement et la formation des instances des commissions foncières villageoises,</w:t>
            </w:r>
          </w:p>
        </w:tc>
        <w:tc>
          <w:tcPr>
            <w:tcW w:w="1276" w:type="dxa"/>
            <w:tcBorders/>
            <w:shd w:val="clear" w:color="auto" w:fill="auto"/>
            <w:noWrap/>
            <w:vAlign w:val="center"/>
            <w:hideMark/>
          </w:tcPr>
          <w:p>
            <w:pPr>
              <w:pStyle w:val="style0"/>
              <w:jc w:val="center"/>
              <w:rPr>
                <w:rFonts w:ascii="Century Gothic" w:cs="Calibri" w:hAnsi="Century Gothic"/>
                <w:sz w:val="20"/>
                <w:szCs w:val="20"/>
              </w:rPr>
            </w:pPr>
            <w:r>
              <w:rPr>
                <w:rFonts w:ascii="Century Gothic" w:cs="Calibri" w:hAnsi="Century Gothic"/>
                <w:sz w:val="20"/>
                <w:szCs w:val="20"/>
              </w:rPr>
              <w:t>1635</w:t>
            </w:r>
          </w:p>
        </w:tc>
        <w:tc>
          <w:tcPr>
            <w:tcW w:w="992" w:type="dxa"/>
            <w:tcBorders/>
            <w:shd w:val="clear" w:color="auto" w:fill="auto"/>
            <w:noWrap/>
            <w:vAlign w:val="center"/>
            <w:hideMark/>
          </w:tcPr>
          <w:p>
            <w:pPr>
              <w:pStyle w:val="style0"/>
              <w:jc w:val="center"/>
              <w:rPr>
                <w:rFonts w:ascii="Century Gothic" w:cs="Calibri" w:hAnsi="Century Gothic"/>
                <w:sz w:val="20"/>
                <w:szCs w:val="20"/>
              </w:rPr>
            </w:pPr>
            <w:r>
              <w:rPr>
                <w:rFonts w:ascii="Century Gothic" w:cs="Calibri" w:hAnsi="Century Gothic"/>
                <w:sz w:val="20"/>
                <w:szCs w:val="20"/>
              </w:rPr>
              <w:t>1793</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3428</w:t>
            </w:r>
          </w:p>
        </w:tc>
      </w:tr>
      <w:tr>
        <w:tblPrEx/>
        <w:trPr>
          <w:trHeight w:val="684"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4.1.2.1.1.8. Réaliser le bornage de la forêt villageoise de Kaya</w:t>
            </w:r>
          </w:p>
        </w:tc>
        <w:tc>
          <w:tcPr>
            <w:tcW w:w="1276" w:type="dxa"/>
            <w:tcBorders/>
            <w:shd w:val="clear" w:color="auto" w:fill="auto"/>
            <w:noWrap/>
            <w:vAlign w:val="center"/>
            <w:hideMark/>
          </w:tcPr>
          <w:p>
            <w:pPr>
              <w:pStyle w:val="style0"/>
              <w:jc w:val="center"/>
              <w:rPr>
                <w:rFonts w:ascii="Century Gothic" w:cs="Calibri" w:hAnsi="Century Gothic"/>
                <w:sz w:val="20"/>
                <w:szCs w:val="20"/>
              </w:rPr>
            </w:pPr>
            <w:r>
              <w:rPr>
                <w:rFonts w:ascii="Century Gothic" w:cs="Calibri" w:hAnsi="Century Gothic"/>
                <w:sz w:val="20"/>
                <w:szCs w:val="20"/>
              </w:rPr>
              <w:t>1635</w:t>
            </w:r>
          </w:p>
        </w:tc>
        <w:tc>
          <w:tcPr>
            <w:tcW w:w="992" w:type="dxa"/>
            <w:tcBorders/>
            <w:shd w:val="clear" w:color="auto" w:fill="auto"/>
            <w:noWrap/>
            <w:vAlign w:val="center"/>
            <w:hideMark/>
          </w:tcPr>
          <w:p>
            <w:pPr>
              <w:pStyle w:val="style0"/>
              <w:jc w:val="center"/>
              <w:rPr>
                <w:rFonts w:ascii="Century Gothic" w:cs="Calibri" w:hAnsi="Century Gothic"/>
                <w:sz w:val="20"/>
                <w:szCs w:val="20"/>
              </w:rPr>
            </w:pPr>
            <w:r>
              <w:rPr>
                <w:rFonts w:ascii="Century Gothic" w:cs="Calibri" w:hAnsi="Century Gothic"/>
                <w:sz w:val="20"/>
                <w:szCs w:val="20"/>
              </w:rPr>
              <w:t>1793</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3428</w:t>
            </w:r>
          </w:p>
        </w:tc>
      </w:tr>
      <w:tr>
        <w:tblPrEx/>
        <w:trPr>
          <w:trHeight w:val="732"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4.1.2.1.1.9. Confectionner et fixer cinq (5) panneaux d'information et de sensibilisation sur la forêt de Kaya </w:t>
            </w:r>
          </w:p>
        </w:tc>
        <w:tc>
          <w:tcPr>
            <w:tcW w:w="1276" w:type="dxa"/>
            <w:tcBorders/>
            <w:shd w:val="clear" w:color="auto" w:fill="auto"/>
            <w:noWrap/>
            <w:vAlign w:val="center"/>
            <w:hideMark/>
          </w:tcPr>
          <w:p>
            <w:pPr>
              <w:pStyle w:val="style0"/>
              <w:jc w:val="center"/>
              <w:rPr>
                <w:rFonts w:ascii="Century Gothic" w:cs="Calibri" w:hAnsi="Century Gothic"/>
                <w:sz w:val="20"/>
                <w:szCs w:val="20"/>
              </w:rPr>
            </w:pPr>
            <w:r>
              <w:rPr>
                <w:rFonts w:ascii="Century Gothic" w:cs="Calibri" w:hAnsi="Century Gothic"/>
                <w:sz w:val="20"/>
                <w:szCs w:val="20"/>
              </w:rPr>
              <w:t>1635</w:t>
            </w:r>
          </w:p>
        </w:tc>
        <w:tc>
          <w:tcPr>
            <w:tcW w:w="992" w:type="dxa"/>
            <w:tcBorders/>
            <w:shd w:val="clear" w:color="auto" w:fill="auto"/>
            <w:noWrap/>
            <w:vAlign w:val="center"/>
            <w:hideMark/>
          </w:tcPr>
          <w:p>
            <w:pPr>
              <w:pStyle w:val="style0"/>
              <w:jc w:val="center"/>
              <w:rPr>
                <w:rFonts w:ascii="Century Gothic" w:cs="Calibri" w:hAnsi="Century Gothic"/>
                <w:sz w:val="20"/>
                <w:szCs w:val="20"/>
              </w:rPr>
            </w:pPr>
            <w:r>
              <w:rPr>
                <w:rFonts w:ascii="Century Gothic" w:cs="Calibri" w:hAnsi="Century Gothic"/>
                <w:sz w:val="20"/>
                <w:szCs w:val="20"/>
              </w:rPr>
              <w:t>1793</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3428</w:t>
            </w:r>
          </w:p>
        </w:tc>
      </w:tr>
      <w:tr>
        <w:tblPrEx/>
        <w:trPr>
          <w:trHeight w:val="1020" w:hRule="atLeast"/>
        </w:trPr>
        <w:tc>
          <w:tcPr>
            <w:tcW w:w="1701" w:type="dxa"/>
            <w:vMerge w:val="restart"/>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4.1.2.2 Activités induites d’amélioration des productivités et des revenus dans l’espace de conservation de Kaya</w:t>
            </w: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4.1.2.2.1. Appuyer 150 producteurs à la production et à l’utilisation du compost dans l’espace de conservation de Kaya (villages de Kaya Fabolo, Kaya Kafor et Kaya Navio)</w:t>
            </w:r>
          </w:p>
        </w:tc>
        <w:tc>
          <w:tcPr>
            <w:tcW w:w="1276"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270</w:t>
            </w:r>
          </w:p>
        </w:tc>
        <w:tc>
          <w:tcPr>
            <w:tcW w:w="99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180</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450</w:t>
            </w:r>
          </w:p>
        </w:tc>
      </w:tr>
      <w:tr>
        <w:tblPrEx/>
        <w:trPr>
          <w:trHeight w:val="1332"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4.1.2.2.2. Appuyer 150 producteurs la fauche et conservation du fourrage naturel dans les villages riverains de l‘espace de conservation de Kaya (villages de Kaya Fabolo, Kaya Kafor et Kaya Navio)</w:t>
            </w:r>
          </w:p>
        </w:tc>
        <w:tc>
          <w:tcPr>
            <w:tcW w:w="1276"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270</w:t>
            </w:r>
          </w:p>
        </w:tc>
        <w:tc>
          <w:tcPr>
            <w:tcW w:w="99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180</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450</w:t>
            </w:r>
          </w:p>
        </w:tc>
      </w:tr>
      <w:tr>
        <w:tblPrEx/>
        <w:trPr>
          <w:trHeight w:val="912"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4.1.2.2.3. Appuyer l’apiculture moderne au profit de 20 jeunes et femmes dans l’espace de conservation de Kaya (village de Kaya Navio)</w:t>
            </w:r>
          </w:p>
        </w:tc>
        <w:tc>
          <w:tcPr>
            <w:tcW w:w="1276"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12</w:t>
            </w:r>
          </w:p>
        </w:tc>
        <w:tc>
          <w:tcPr>
            <w:tcW w:w="99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8</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20</w:t>
            </w:r>
          </w:p>
        </w:tc>
      </w:tr>
      <w:tr>
        <w:tblPrEx/>
        <w:trPr>
          <w:trHeight w:val="912"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4.1.2.2.4. Mettre en place une unité  de transformation des PFNL dans l’espace de conservation de Kaya au profit de la SCOOP KOUDJIGUI-TINA</w:t>
            </w:r>
          </w:p>
        </w:tc>
        <w:tc>
          <w:tcPr>
            <w:tcW w:w="1276"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0</w:t>
            </w:r>
          </w:p>
        </w:tc>
        <w:tc>
          <w:tcPr>
            <w:tcW w:w="99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50</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50</w:t>
            </w:r>
          </w:p>
        </w:tc>
      </w:tr>
      <w:tr>
        <w:tblPrEx/>
        <w:trPr>
          <w:trHeight w:val="912" w:hRule="atLeast"/>
        </w:trPr>
        <w:tc>
          <w:tcPr>
            <w:tcW w:w="1701" w:type="dxa"/>
            <w:vMerge w:val="restart"/>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4.1.2.3. Activités de renforcement des capacités d’adaptation aux activités et responsabilités dans l’espace de conservation de Kaya</w:t>
            </w: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4.1.2.3.1 : Former 50 élus locaux et leaders villageois de la commune de Tiébélé sur la gouvernance locale et en législations environnementales</w:t>
            </w:r>
          </w:p>
        </w:tc>
        <w:tc>
          <w:tcPr>
            <w:tcW w:w="1276"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30</w:t>
            </w:r>
          </w:p>
        </w:tc>
        <w:tc>
          <w:tcPr>
            <w:tcW w:w="99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20</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50</w:t>
            </w:r>
          </w:p>
        </w:tc>
      </w:tr>
      <w:tr>
        <w:tblPrEx/>
        <w:trPr>
          <w:trHeight w:val="912"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4.1.2.3.2 : Organiser vingt (20) séances d'information et de sensibilisation sur la sécurisation foncière dans la commune de Tiébélé</w:t>
            </w:r>
          </w:p>
        </w:tc>
        <w:tc>
          <w:tcPr>
            <w:tcW w:w="1276"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600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400</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1000</w:t>
            </w:r>
          </w:p>
        </w:tc>
      </w:tr>
      <w:tr>
        <w:tblPrEx/>
        <w:trPr>
          <w:trHeight w:val="1224"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4.1.2.3.3. Former 300 producteurs en technique de plantation et entretien des espèces végétales dans l’espace de conservation de Kaya (villages de Kaya Fabolo, Kaya Kafor et Kaya Navio)</w:t>
            </w:r>
          </w:p>
        </w:tc>
        <w:tc>
          <w:tcPr>
            <w:tcW w:w="1276"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200</w:t>
            </w:r>
          </w:p>
        </w:tc>
        <w:tc>
          <w:tcPr>
            <w:tcW w:w="99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100</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300</w:t>
            </w:r>
          </w:p>
        </w:tc>
      </w:tr>
      <w:tr>
        <w:tblPrEx/>
        <w:trPr>
          <w:trHeight w:val="1164"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Activité 4.1.2.3.4. Former 150 producteurs à la production et à l’utilisation du compost dans l’espace de conservation de Kaya (villages de Kaya Fabolo, Kaya Kafor et Kaya Navio) </w:t>
            </w:r>
          </w:p>
        </w:tc>
        <w:tc>
          <w:tcPr>
            <w:tcW w:w="1276"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270</w:t>
            </w:r>
          </w:p>
        </w:tc>
        <w:tc>
          <w:tcPr>
            <w:tcW w:w="99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180</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450</w:t>
            </w:r>
          </w:p>
        </w:tc>
      </w:tr>
      <w:tr>
        <w:tblPrEx/>
        <w:trPr>
          <w:trHeight w:val="1260"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4.1.2.3.5. Former 150 producteurs en technique de fauche et de conservation de fourrage naturel dans l’espace de conservation de Kaya  (villages de Kaya Fabolo, Kaya Kafor et Kaya Navio)</w:t>
            </w:r>
          </w:p>
        </w:tc>
        <w:tc>
          <w:tcPr>
            <w:tcW w:w="1276"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270</w:t>
            </w:r>
          </w:p>
        </w:tc>
        <w:tc>
          <w:tcPr>
            <w:tcW w:w="99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180</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450</w:t>
            </w:r>
          </w:p>
        </w:tc>
      </w:tr>
      <w:tr>
        <w:tblPrEx/>
        <w:trPr>
          <w:trHeight w:val="720"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4.1.2.3.6. Former 20 producteurs en techniques apicoles modernes dans l’espace de conservation de Kaya.</w:t>
            </w:r>
          </w:p>
        </w:tc>
        <w:tc>
          <w:tcPr>
            <w:tcW w:w="1276"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12</w:t>
            </w:r>
          </w:p>
        </w:tc>
        <w:tc>
          <w:tcPr>
            <w:tcW w:w="99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8</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20</w:t>
            </w:r>
          </w:p>
        </w:tc>
      </w:tr>
      <w:tr>
        <w:tblPrEx/>
        <w:trPr>
          <w:trHeight w:val="1248"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Activité 4.1.2.3.7. Former 50 membres de l’union des SCOOP KOUDJIGUI-TINA de Tiébélé en techniques de production, de transformation et de commercialisation des PFNL dans l’espace de conservation de Kaya. </w:t>
            </w:r>
          </w:p>
        </w:tc>
        <w:tc>
          <w:tcPr>
            <w:tcW w:w="1276"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0</w:t>
            </w:r>
          </w:p>
        </w:tc>
        <w:tc>
          <w:tcPr>
            <w:tcW w:w="992" w:type="dxa"/>
            <w:tcBorders/>
            <w:shd w:val="clear" w:color="000000" w:fill="d9d9d9"/>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50</w:t>
            </w:r>
          </w:p>
        </w:tc>
        <w:tc>
          <w:tcPr>
            <w:tcW w:w="1028"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50</w:t>
            </w:r>
          </w:p>
        </w:tc>
      </w:tr>
      <w:tr>
        <w:tblPrEx/>
        <w:trPr>
          <w:trHeight w:val="576" w:hRule="atLeast"/>
        </w:trPr>
        <w:tc>
          <w:tcPr>
            <w:tcW w:w="1701" w:type="dxa"/>
            <w:tcBorders/>
            <w:shd w:val="clear" w:color="000000" w:fill="ffff00"/>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TOTAL ESPACE CONSERVATION KAYA</w:t>
            </w:r>
          </w:p>
        </w:tc>
        <w:tc>
          <w:tcPr>
            <w:tcW w:w="4111" w:type="dxa"/>
            <w:tcBorders/>
            <w:shd w:val="clear" w:color="000000" w:fill="ffff00"/>
            <w:vAlign w:val="center"/>
            <w:hideMark/>
          </w:tcPr>
          <w:p>
            <w:pPr>
              <w:pStyle w:val="style0"/>
              <w:jc w:val="both"/>
              <w:rPr>
                <w:rFonts w:ascii="Century Gothic" w:cs="Calibri" w:hAnsi="Century Gothic"/>
                <w:b/>
                <w:bCs/>
                <w:color w:val="000000"/>
                <w:sz w:val="20"/>
                <w:szCs w:val="20"/>
              </w:rPr>
            </w:pPr>
            <w:r>
              <w:rPr>
                <w:rFonts w:ascii="Century Gothic" w:cs="Calibri" w:hAnsi="Century Gothic"/>
                <w:b/>
                <w:bCs/>
                <w:color w:val="000000"/>
                <w:sz w:val="20"/>
                <w:szCs w:val="20"/>
              </w:rPr>
              <w:t> </w:t>
            </w:r>
          </w:p>
        </w:tc>
        <w:tc>
          <w:tcPr>
            <w:tcW w:w="1276" w:type="dxa"/>
            <w:tcBorders/>
            <w:shd w:val="clear" w:color="000000" w:fill="ffff00"/>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12055</w:t>
            </w:r>
          </w:p>
        </w:tc>
        <w:tc>
          <w:tcPr>
            <w:tcW w:w="992" w:type="dxa"/>
            <w:tcBorders/>
            <w:shd w:val="clear" w:color="000000" w:fill="ffff00"/>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12265</w:t>
            </w:r>
          </w:p>
        </w:tc>
        <w:tc>
          <w:tcPr>
            <w:tcW w:w="1028" w:type="dxa"/>
            <w:tcBorders/>
            <w:shd w:val="clear" w:color="000000" w:fill="ffff00"/>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0</w:t>
            </w:r>
          </w:p>
        </w:tc>
        <w:tc>
          <w:tcPr>
            <w:tcW w:w="992" w:type="dxa"/>
            <w:tcBorders/>
            <w:shd w:val="clear" w:color="000000" w:fill="ffff00"/>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24320</w:t>
            </w:r>
          </w:p>
        </w:tc>
      </w:tr>
      <w:tr>
        <w:tblPrEx/>
        <w:trPr>
          <w:trHeight w:val="696" w:hRule="atLeast"/>
        </w:trPr>
        <w:tc>
          <w:tcPr>
            <w:tcW w:w="1701" w:type="dxa"/>
            <w:vMerge w:val="restart"/>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 xml:space="preserve">1.     Activités directement liées à la réduction des émissions de gaz à effet de serre </w:t>
            </w: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4.2.2.1.1.1. Réaliser des plantations d’enrichissement/délimitation de la forêt de Tangassogo</w:t>
            </w:r>
          </w:p>
        </w:tc>
        <w:tc>
          <w:tcPr>
            <w:tcW w:w="1276"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540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624</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1164</w:t>
            </w:r>
          </w:p>
        </w:tc>
      </w:tr>
      <w:tr>
        <w:tblPrEx/>
        <w:trPr>
          <w:trHeight w:val="912"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4.2.2.1.1.2.  Réaliser des plantations individuelles dans les villages riverains dans l’espace de conservation Tangassogo (villages Ouédiabié-Tangassogo et Ourobié-Tangassogo).</w:t>
            </w:r>
          </w:p>
        </w:tc>
        <w:tc>
          <w:tcPr>
            <w:tcW w:w="1276"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200</w:t>
            </w:r>
          </w:p>
        </w:tc>
        <w:tc>
          <w:tcPr>
            <w:tcW w:w="99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100</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300</w:t>
            </w:r>
          </w:p>
        </w:tc>
      </w:tr>
      <w:tr>
        <w:tblPrEx/>
        <w:trPr>
          <w:trHeight w:val="600"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4.2.2.1.1.3. Mettre en place un comité villageois de gestion dans l’espace de conservation Tangassogo. </w:t>
            </w:r>
          </w:p>
        </w:tc>
        <w:tc>
          <w:tcPr>
            <w:tcW w:w="1276"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540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624</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1164</w:t>
            </w:r>
          </w:p>
        </w:tc>
      </w:tr>
      <w:tr>
        <w:tblPrEx/>
        <w:trPr>
          <w:trHeight w:val="912"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4.2.2.1.1.4. Former/ recycler 07 membres du comité de gestion / suivi de la charte sur leurs attributions dans l’espace de conservation Tangassogo. </w:t>
            </w:r>
          </w:p>
        </w:tc>
        <w:tc>
          <w:tcPr>
            <w:tcW w:w="1276"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6</w:t>
            </w:r>
          </w:p>
        </w:tc>
        <w:tc>
          <w:tcPr>
            <w:tcW w:w="99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7</w:t>
            </w:r>
          </w:p>
        </w:tc>
      </w:tr>
      <w:tr>
        <w:tblPrEx/>
        <w:trPr>
          <w:trHeight w:val="744"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4.2.2.1.1.5. Elaborer une charte locale de gestion foncière de la forêt de Tangassogo</w:t>
            </w:r>
          </w:p>
        </w:tc>
        <w:tc>
          <w:tcPr>
            <w:tcW w:w="1276"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540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624</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1164</w:t>
            </w:r>
          </w:p>
        </w:tc>
      </w:tr>
      <w:tr>
        <w:tblPrEx/>
        <w:trPr>
          <w:trHeight w:val="672"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4.2.2.1.1.6. Réaliser le bornage de la forêt communale de Tangassogo</w:t>
            </w:r>
          </w:p>
        </w:tc>
        <w:tc>
          <w:tcPr>
            <w:tcW w:w="1276"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540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624</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1164</w:t>
            </w:r>
          </w:p>
        </w:tc>
      </w:tr>
      <w:tr>
        <w:tblPrEx/>
        <w:trPr>
          <w:trHeight w:val="912"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4.2.2.1.1.7. Confectionner et fixer cinq (5) de panneaux d'information et de sensibilisation sur la forêt de Tangassogo</w:t>
            </w:r>
          </w:p>
        </w:tc>
        <w:tc>
          <w:tcPr>
            <w:tcW w:w="1276"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540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624</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1164</w:t>
            </w:r>
          </w:p>
        </w:tc>
      </w:tr>
      <w:tr>
        <w:tblPrEx/>
        <w:trPr>
          <w:trHeight w:val="1260" w:hRule="atLeast"/>
        </w:trPr>
        <w:tc>
          <w:tcPr>
            <w:tcW w:w="1701" w:type="dxa"/>
            <w:vMerge w:val="restart"/>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 xml:space="preserve">Activités de type 2: 2.Activités de renforcement des capacités, y compris </w:t>
            </w:r>
            <w:r>
              <w:rPr>
                <w:rFonts w:ascii="Century Gothic" w:cs="Calibri" w:hAnsi="Century Gothic"/>
                <w:b/>
                <w:bCs/>
                <w:color w:val="000000"/>
                <w:sz w:val="20"/>
                <w:szCs w:val="20"/>
              </w:rPr>
              <w:t>conciliation, concertation, délimitation participative et sécurisation des zones de conservation</w:t>
            </w: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4.2.2.2.1. Appuyer 100 producteurs à la production et à l’utilisation du compost dans l’espace de conservation de Tangassogo ((villages Ouédiabié-Tangassogo et Ourobié-Tangassogo)</w:t>
            </w:r>
          </w:p>
        </w:tc>
        <w:tc>
          <w:tcPr>
            <w:tcW w:w="1276"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60</w:t>
            </w:r>
          </w:p>
        </w:tc>
        <w:tc>
          <w:tcPr>
            <w:tcW w:w="99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40</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100</w:t>
            </w:r>
          </w:p>
        </w:tc>
      </w:tr>
      <w:tr>
        <w:tblPrEx/>
        <w:trPr>
          <w:trHeight w:val="1308"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4.2.2.2.2. Appuyer 100 producteurs la fauche et conservation du fourrage naturel dans les villages riverains de l‘espace de conservation Tangassogo (villages Ouédiabié-Tangassogo et Ourobié-Tangassogo)</w:t>
            </w:r>
          </w:p>
        </w:tc>
        <w:tc>
          <w:tcPr>
            <w:tcW w:w="1276"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60</w:t>
            </w:r>
          </w:p>
        </w:tc>
        <w:tc>
          <w:tcPr>
            <w:tcW w:w="99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40</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100</w:t>
            </w:r>
          </w:p>
        </w:tc>
      </w:tr>
      <w:tr>
        <w:tblPrEx/>
        <w:trPr>
          <w:trHeight w:val="960"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4.2.2.2.3. Appuyer l’apiculture moderne au profit de 40 jeunes et femmes dans l’espace de conservation de Tangassogo (villages Ouédiabié-Tangassogo et Ourobié-Tangassogo)</w:t>
            </w:r>
          </w:p>
        </w:tc>
        <w:tc>
          <w:tcPr>
            <w:tcW w:w="1276"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0</w:t>
            </w:r>
          </w:p>
        </w:tc>
        <w:tc>
          <w:tcPr>
            <w:tcW w:w="99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50</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50</w:t>
            </w:r>
          </w:p>
        </w:tc>
      </w:tr>
      <w:tr>
        <w:tblPrEx/>
        <w:trPr>
          <w:trHeight w:val="960" w:hRule="atLeast"/>
        </w:trPr>
        <w:tc>
          <w:tcPr>
            <w:tcW w:w="1701" w:type="dxa"/>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 </w:t>
            </w: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Activité 4.1.2.2.4. Mettre en place une unité  de transformation des PFNL dans l’espace de conservation de Tangassogo au profit de l’union des SCOOP KOUDJIGUI-TINA. </w:t>
            </w:r>
          </w:p>
        </w:tc>
        <w:tc>
          <w:tcPr>
            <w:tcW w:w="1276"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0</w:t>
            </w:r>
          </w:p>
        </w:tc>
        <w:tc>
          <w:tcPr>
            <w:tcW w:w="99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50</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50</w:t>
            </w:r>
          </w:p>
        </w:tc>
      </w:tr>
      <w:tr>
        <w:tblPrEx/>
        <w:trPr>
          <w:trHeight w:val="1140" w:hRule="atLeast"/>
        </w:trPr>
        <w:tc>
          <w:tcPr>
            <w:tcW w:w="1701" w:type="dxa"/>
            <w:vMerge w:val="restart"/>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4.2.2.3. Activités de renforcement des capacités d’adaptation aux activités et responsabilités dans l’espace de conservation de Tangassogo</w:t>
            </w: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4.2.2.3.1. Former 200 producteurs en technique de plantation et entretien des espèces végétales dans l’espace de conservation de Tangassogo (villages Ouédiabié-Tangassogo et Ourobié-Tangassogo)</w:t>
            </w:r>
          </w:p>
        </w:tc>
        <w:tc>
          <w:tcPr>
            <w:tcW w:w="1276"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120</w:t>
            </w:r>
          </w:p>
        </w:tc>
        <w:tc>
          <w:tcPr>
            <w:tcW w:w="99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80</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200</w:t>
            </w:r>
          </w:p>
        </w:tc>
      </w:tr>
      <w:tr>
        <w:tblPrEx/>
        <w:trPr>
          <w:trHeight w:val="1332"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4.2.2.3.2. Former 100 producteurs à la production et à l’utilisation du compost dans l’espace de conservation de Tangassogo (villages Ouédiabié-Tangassogo et Ourobié-Tangassogo)</w:t>
            </w:r>
          </w:p>
        </w:tc>
        <w:tc>
          <w:tcPr>
            <w:tcW w:w="1276"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60</w:t>
            </w:r>
          </w:p>
        </w:tc>
        <w:tc>
          <w:tcPr>
            <w:tcW w:w="99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40</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100</w:t>
            </w:r>
          </w:p>
        </w:tc>
      </w:tr>
      <w:tr>
        <w:tblPrEx/>
        <w:trPr>
          <w:trHeight w:val="1296"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4.2.2.3.3. Former 100 producteurs en technique de fauche et de conservation de fourrage naturel dans l’espace de conservation de Tangassogo (villages Ouédiabié-Tangassogo et Ourobié-Tangassogo)</w:t>
            </w:r>
          </w:p>
        </w:tc>
        <w:tc>
          <w:tcPr>
            <w:tcW w:w="1276"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60</w:t>
            </w:r>
          </w:p>
        </w:tc>
        <w:tc>
          <w:tcPr>
            <w:tcW w:w="99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40</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100</w:t>
            </w:r>
          </w:p>
        </w:tc>
      </w:tr>
      <w:tr>
        <w:tblPrEx/>
        <w:trPr>
          <w:trHeight w:val="708"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4.2.2.3.4. Former 40 producteurs en techniques apicoles modernes dans l’espace de conservation de Tangassogo.</w:t>
            </w:r>
          </w:p>
        </w:tc>
        <w:tc>
          <w:tcPr>
            <w:tcW w:w="1276"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24</w:t>
            </w:r>
          </w:p>
        </w:tc>
        <w:tc>
          <w:tcPr>
            <w:tcW w:w="99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16</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40</w:t>
            </w:r>
          </w:p>
        </w:tc>
      </w:tr>
      <w:tr>
        <w:tblPrEx/>
        <w:trPr>
          <w:trHeight w:val="1272" w:hRule="atLeast"/>
        </w:trPr>
        <w:tc>
          <w:tcPr>
            <w:tcW w:w="1701" w:type="dxa"/>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 </w:t>
            </w:r>
          </w:p>
        </w:tc>
        <w:tc>
          <w:tcPr>
            <w:tcW w:w="4111" w:type="dxa"/>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Activité 4.1.2.3.5. Former 50 membres de l’union des SCOOP KOUDJIGUI-TINA de Tiébélé en techniques de production, de transformation et de commercialisation des PFNL dans l’espace de conservation de Tangassogo. </w:t>
            </w:r>
          </w:p>
        </w:tc>
        <w:tc>
          <w:tcPr>
            <w:tcW w:w="1276"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0</w:t>
            </w:r>
          </w:p>
        </w:tc>
        <w:tc>
          <w:tcPr>
            <w:tcW w:w="992" w:type="dxa"/>
            <w:tcBorders/>
            <w:shd w:val="clear" w:color="000000" w:fill="d9d9d9"/>
            <w:noWrap/>
            <w:vAlign w:val="center"/>
            <w:hideMark/>
          </w:tcPr>
          <w:p>
            <w:pPr>
              <w:pStyle w:val="style0"/>
              <w:jc w:val="center"/>
              <w:rPr>
                <w:rFonts w:ascii="Century Gothic" w:cs="Calibri" w:hAnsi="Century Gothic"/>
                <w:b/>
                <w:bCs/>
                <w:sz w:val="20"/>
                <w:szCs w:val="20"/>
              </w:rPr>
            </w:pPr>
            <w:r>
              <w:rPr>
                <w:rFonts w:ascii="Century Gothic" w:cs="Calibri" w:hAnsi="Century Gothic"/>
                <w:b/>
                <w:bCs/>
                <w:sz w:val="20"/>
                <w:szCs w:val="20"/>
              </w:rPr>
              <w:t>50</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r>
      <w:tr>
        <w:tblPrEx/>
        <w:trPr>
          <w:trHeight w:val="912" w:hRule="atLeast"/>
        </w:trPr>
        <w:tc>
          <w:tcPr>
            <w:tcW w:w="1701" w:type="dxa"/>
            <w:tcBorders/>
            <w:shd w:val="clear" w:color="000000" w:fill="ffff00"/>
            <w:vAlign w:val="center"/>
            <w:hideMark/>
          </w:tcPr>
          <w:p>
            <w:pPr>
              <w:pStyle w:val="style0"/>
              <w:rPr>
                <w:rFonts w:ascii="Century Gothic" w:cs="Calibri" w:hAnsi="Century Gothic"/>
                <w:b/>
                <w:bCs/>
                <w:color w:val="000000"/>
                <w:sz w:val="20"/>
                <w:szCs w:val="20"/>
              </w:rPr>
            </w:pPr>
            <w:r>
              <w:rPr>
                <w:rFonts w:ascii="Century Gothic" w:cs="Calibri" w:hAnsi="Century Gothic"/>
                <w:b/>
                <w:bCs/>
                <w:color w:val="000000"/>
                <w:sz w:val="20"/>
                <w:szCs w:val="20"/>
              </w:rPr>
              <w:t>TOTAL ESPACE CONSERVATION TANGASSOGO</w:t>
            </w:r>
          </w:p>
        </w:tc>
        <w:tc>
          <w:tcPr>
            <w:tcW w:w="4111" w:type="dxa"/>
            <w:tcBorders/>
            <w:shd w:val="clear" w:color="000000" w:fill="ffff00"/>
            <w:noWrap/>
            <w:vAlign w:val="center"/>
            <w:hideMark/>
          </w:tcPr>
          <w:p>
            <w:pPr>
              <w:pStyle w:val="style0"/>
              <w:jc w:val="both"/>
              <w:rPr>
                <w:rFonts w:ascii="Century Gothic" w:cs="Calibri" w:hAnsi="Century Gothic"/>
                <w:b/>
                <w:bCs/>
                <w:color w:val="000000"/>
                <w:sz w:val="20"/>
                <w:szCs w:val="20"/>
              </w:rPr>
            </w:pPr>
            <w:r>
              <w:rPr>
                <w:rFonts w:ascii="Century Gothic" w:cs="Calibri" w:hAnsi="Century Gothic"/>
                <w:b/>
                <w:bCs/>
                <w:color w:val="000000"/>
                <w:sz w:val="20"/>
                <w:szCs w:val="20"/>
              </w:rPr>
              <w:t> </w:t>
            </w:r>
          </w:p>
        </w:tc>
        <w:tc>
          <w:tcPr>
            <w:tcW w:w="1276" w:type="dxa"/>
            <w:tcBorders/>
            <w:shd w:val="clear" w:color="000000" w:fill="ffff00"/>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3290</w:t>
            </w:r>
          </w:p>
        </w:tc>
        <w:tc>
          <w:tcPr>
            <w:tcW w:w="992" w:type="dxa"/>
            <w:tcBorders/>
            <w:shd w:val="clear" w:color="000000" w:fill="ffff00"/>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3627</w:t>
            </w:r>
          </w:p>
        </w:tc>
        <w:tc>
          <w:tcPr>
            <w:tcW w:w="1028" w:type="dxa"/>
            <w:tcBorders/>
            <w:shd w:val="clear" w:color="000000" w:fill="ffff00"/>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0</w:t>
            </w:r>
          </w:p>
        </w:tc>
        <w:tc>
          <w:tcPr>
            <w:tcW w:w="992" w:type="dxa"/>
            <w:tcBorders/>
            <w:shd w:val="clear" w:color="000000" w:fill="ffff00"/>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6867</w:t>
            </w:r>
          </w:p>
        </w:tc>
      </w:tr>
      <w:tr>
        <w:tblPrEx/>
        <w:trPr>
          <w:trHeight w:val="588" w:hRule="atLeast"/>
        </w:trPr>
        <w:tc>
          <w:tcPr>
            <w:tcW w:w="1701" w:type="dxa"/>
            <w:vMerge w:val="restart"/>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4.4. Le suivi évaluation et la capitalisation du PDIC</w:t>
            </w:r>
          </w:p>
        </w:tc>
        <w:tc>
          <w:tcPr>
            <w:tcW w:w="4111" w:type="dxa"/>
            <w:tcBorders/>
            <w:shd w:val="clear" w:color="auto" w:fill="auto"/>
            <w:noWrap/>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4.4.1 Organiser l’atelier de lancement du PDIC/REDD+ de Tiébélé</w:t>
            </w:r>
          </w:p>
        </w:tc>
        <w:tc>
          <w:tcPr>
            <w:tcW w:w="1276" w:type="dxa"/>
            <w:tcBorders/>
            <w:shd w:val="clear" w:color="000000" w:fill="d9d9d9"/>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30</w:t>
            </w:r>
          </w:p>
        </w:tc>
        <w:tc>
          <w:tcPr>
            <w:tcW w:w="992" w:type="dxa"/>
            <w:tcBorders/>
            <w:shd w:val="clear" w:color="000000" w:fill="d9d9d9"/>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20</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50</w:t>
            </w:r>
          </w:p>
        </w:tc>
      </w:tr>
      <w:tr>
        <w:tblPrEx/>
        <w:trPr>
          <w:trHeight w:val="588"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noWrap/>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4.4.2 Suivre la mise en œuvre du PDIC/REDD+ de Tiébélé</w:t>
            </w:r>
          </w:p>
        </w:tc>
        <w:tc>
          <w:tcPr>
            <w:tcW w:w="1276" w:type="dxa"/>
            <w:tcBorders/>
            <w:shd w:val="clear" w:color="000000" w:fill="d9d9d9"/>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100</w:t>
            </w:r>
          </w:p>
        </w:tc>
        <w:tc>
          <w:tcPr>
            <w:tcW w:w="992" w:type="dxa"/>
            <w:tcBorders/>
            <w:shd w:val="clear" w:color="000000" w:fill="d9d9d9"/>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50</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150</w:t>
            </w:r>
          </w:p>
        </w:tc>
      </w:tr>
      <w:tr>
        <w:tblPrEx/>
        <w:trPr>
          <w:trHeight w:val="720"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noWrap/>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4.4.3. Mettre en œuvre des mesures de sauvegarde environnementales et sociales du PDIC/REDD+ de Tiébélé</w:t>
            </w:r>
          </w:p>
        </w:tc>
        <w:tc>
          <w:tcPr>
            <w:tcW w:w="1276" w:type="dxa"/>
            <w:tcBorders/>
            <w:shd w:val="clear" w:color="000000" w:fill="d9d9d9"/>
            <w:noWrap/>
            <w:vAlign w:val="center"/>
            <w:hideMark/>
          </w:tcPr>
          <w:p>
            <w:pPr>
              <w:pStyle w:val="style0"/>
              <w:jc w:val="center"/>
              <w:rPr>
                <w:rFonts w:ascii="Century Gothic" w:cs="Calibri" w:hAnsi="Century Gothic"/>
                <w:sz w:val="20"/>
                <w:szCs w:val="20"/>
              </w:rPr>
            </w:pPr>
            <w:r>
              <w:rPr>
                <w:rFonts w:ascii="Century Gothic" w:cs="Calibri" w:hAnsi="Century Gothic"/>
                <w:sz w:val="20"/>
                <w:szCs w:val="20"/>
              </w:rPr>
              <w:t>1635</w:t>
            </w:r>
          </w:p>
        </w:tc>
        <w:tc>
          <w:tcPr>
            <w:tcW w:w="992" w:type="dxa"/>
            <w:tcBorders/>
            <w:shd w:val="clear" w:color="000000" w:fill="d9d9d9"/>
            <w:noWrap/>
            <w:vAlign w:val="center"/>
            <w:hideMark/>
          </w:tcPr>
          <w:p>
            <w:pPr>
              <w:pStyle w:val="style0"/>
              <w:jc w:val="center"/>
              <w:rPr>
                <w:rFonts w:ascii="Century Gothic" w:cs="Calibri" w:hAnsi="Century Gothic"/>
                <w:sz w:val="20"/>
                <w:szCs w:val="20"/>
              </w:rPr>
            </w:pPr>
            <w:r>
              <w:rPr>
                <w:rFonts w:ascii="Century Gothic" w:cs="Calibri" w:hAnsi="Century Gothic"/>
                <w:sz w:val="20"/>
                <w:szCs w:val="20"/>
              </w:rPr>
              <w:t>1793</w:t>
            </w:r>
          </w:p>
        </w:tc>
        <w:tc>
          <w:tcPr>
            <w:tcW w:w="1028"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0</w:t>
            </w: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3428</w:t>
            </w:r>
          </w:p>
        </w:tc>
      </w:tr>
      <w:tr>
        <w:tblPrEx/>
        <w:trPr>
          <w:trHeight w:val="588" w:hRule="atLeast"/>
        </w:trPr>
        <w:tc>
          <w:tcPr>
            <w:tcW w:w="1701" w:type="dxa"/>
            <w:vMerge w:val="continue"/>
            <w:tcBorders/>
            <w:vAlign w:val="center"/>
            <w:hideMark/>
          </w:tcPr>
          <w:p>
            <w:pPr>
              <w:pStyle w:val="style0"/>
              <w:rPr>
                <w:rFonts w:ascii="Century Gothic" w:cs="Calibri" w:hAnsi="Century Gothic"/>
                <w:b/>
                <w:bCs/>
                <w:color w:val="000000"/>
                <w:sz w:val="20"/>
                <w:szCs w:val="20"/>
              </w:rPr>
            </w:pPr>
          </w:p>
        </w:tc>
        <w:tc>
          <w:tcPr>
            <w:tcW w:w="4111" w:type="dxa"/>
            <w:tcBorders/>
            <w:shd w:val="clear" w:color="auto" w:fill="auto"/>
            <w:noWrap/>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4.4.4 Organiser l’atelier de capitalisation du PDIC/REDD+ de Tiébélé</w:t>
            </w:r>
          </w:p>
        </w:tc>
        <w:tc>
          <w:tcPr>
            <w:tcW w:w="1276" w:type="dxa"/>
            <w:tcBorders/>
            <w:shd w:val="clear" w:color="000000" w:fill="d9d9d9"/>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30</w:t>
            </w:r>
          </w:p>
        </w:tc>
        <w:tc>
          <w:tcPr>
            <w:tcW w:w="992" w:type="dxa"/>
            <w:tcBorders/>
            <w:shd w:val="clear" w:color="000000" w:fill="d9d9d9"/>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20</w:t>
            </w:r>
          </w:p>
        </w:tc>
        <w:tc>
          <w:tcPr>
            <w:tcW w:w="1028" w:type="dxa"/>
            <w:tcBorders/>
            <w:shd w:val="clear" w:color="auto" w:fill="auto"/>
            <w:noWrap/>
            <w:vAlign w:val="bottom"/>
            <w:hideMark/>
          </w:tcPr>
          <w:p>
            <w:pPr>
              <w:pStyle w:val="style0"/>
              <w:jc w:val="center"/>
              <w:rPr>
                <w:rFonts w:ascii="Century Gothic" w:cs="Calibri" w:hAnsi="Century Gothic"/>
                <w:color w:val="000000"/>
                <w:sz w:val="20"/>
                <w:szCs w:val="20"/>
              </w:rPr>
            </w:pPr>
          </w:p>
        </w:tc>
        <w:tc>
          <w:tcPr>
            <w:tcW w:w="992" w:type="dxa"/>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50</w:t>
            </w:r>
          </w:p>
        </w:tc>
      </w:tr>
      <w:tr>
        <w:tblPrEx/>
        <w:trPr>
          <w:trHeight w:val="912" w:hRule="atLeast"/>
        </w:trPr>
        <w:tc>
          <w:tcPr>
            <w:tcW w:w="1701" w:type="dxa"/>
            <w:tcBorders/>
            <w:shd w:val="clear" w:color="000000" w:fill="ffff00"/>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TOTAL SUIVI EVALUATION</w:t>
            </w:r>
          </w:p>
        </w:tc>
        <w:tc>
          <w:tcPr>
            <w:tcW w:w="4111" w:type="dxa"/>
            <w:tcBorders/>
            <w:shd w:val="clear" w:color="000000" w:fill="ffff00"/>
            <w:noWrap/>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w:t>
            </w:r>
          </w:p>
        </w:tc>
        <w:tc>
          <w:tcPr>
            <w:tcW w:w="1276" w:type="dxa"/>
            <w:tcBorders/>
            <w:shd w:val="clear" w:color="000000" w:fill="ffff00"/>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1795</w:t>
            </w:r>
          </w:p>
        </w:tc>
        <w:tc>
          <w:tcPr>
            <w:tcW w:w="992" w:type="dxa"/>
            <w:tcBorders/>
            <w:shd w:val="clear" w:color="000000" w:fill="ffff00"/>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1883</w:t>
            </w:r>
          </w:p>
        </w:tc>
        <w:tc>
          <w:tcPr>
            <w:tcW w:w="1028" w:type="dxa"/>
            <w:tcBorders/>
            <w:shd w:val="clear" w:color="000000" w:fill="ffff00"/>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0</w:t>
            </w:r>
          </w:p>
        </w:tc>
        <w:tc>
          <w:tcPr>
            <w:tcW w:w="992" w:type="dxa"/>
            <w:tcBorders/>
            <w:shd w:val="clear" w:color="000000" w:fill="ffff00"/>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3678</w:t>
            </w:r>
          </w:p>
        </w:tc>
      </w:tr>
      <w:tr>
        <w:tblPrEx/>
        <w:trPr>
          <w:trHeight w:val="576" w:hRule="atLeast"/>
        </w:trPr>
        <w:tc>
          <w:tcPr>
            <w:tcW w:w="5812" w:type="dxa"/>
            <w:gridSpan w:val="2"/>
            <w:tcBorders/>
            <w:shd w:val="clear" w:color="000000" w:fill="b8cce4"/>
            <w:noWrap/>
            <w:vAlign w:val="center"/>
            <w:hideMark/>
          </w:tcPr>
          <w:p>
            <w:pPr>
              <w:pStyle w:val="style0"/>
              <w:rPr>
                <w:rFonts w:ascii="Century Gothic" w:cs="Calibri" w:hAnsi="Century Gothic"/>
                <w:b/>
                <w:bCs/>
                <w:color w:val="000000"/>
                <w:sz w:val="20"/>
                <w:szCs w:val="20"/>
              </w:rPr>
            </w:pPr>
            <w:r>
              <w:rPr>
                <w:rFonts w:ascii="Century Gothic" w:cs="Calibri" w:hAnsi="Century Gothic"/>
                <w:b/>
                <w:bCs/>
                <w:color w:val="000000"/>
                <w:sz w:val="20"/>
                <w:szCs w:val="20"/>
              </w:rPr>
              <w:t>TOTAL GENERAL BENEFICIAIRES</w:t>
            </w:r>
          </w:p>
        </w:tc>
        <w:tc>
          <w:tcPr>
            <w:tcW w:w="1276" w:type="dxa"/>
            <w:tcBorders/>
            <w:shd w:val="clear" w:color="000000" w:fill="b8cce4"/>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17140</w:t>
            </w:r>
          </w:p>
        </w:tc>
        <w:tc>
          <w:tcPr>
            <w:tcW w:w="992" w:type="dxa"/>
            <w:tcBorders/>
            <w:shd w:val="clear" w:color="000000" w:fill="b8cce4"/>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17775</w:t>
            </w:r>
          </w:p>
        </w:tc>
        <w:tc>
          <w:tcPr>
            <w:tcW w:w="1028" w:type="dxa"/>
            <w:tcBorders/>
            <w:shd w:val="clear" w:color="000000" w:fill="b8cce4"/>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0</w:t>
            </w:r>
          </w:p>
        </w:tc>
        <w:tc>
          <w:tcPr>
            <w:tcW w:w="992" w:type="dxa"/>
            <w:tcBorders/>
            <w:shd w:val="clear" w:color="000000" w:fill="b8cce4"/>
            <w:noWrap/>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34865</w:t>
            </w:r>
          </w:p>
        </w:tc>
      </w:tr>
      <w:tr>
        <w:tblPrEx/>
        <w:trPr>
          <w:trHeight w:val="912" w:hRule="atLeast"/>
        </w:trPr>
        <w:tc>
          <w:tcPr>
            <w:tcW w:w="1701" w:type="dxa"/>
            <w:tcBorders/>
            <w:shd w:val="clear" w:color="000000" w:fill="00ffff"/>
            <w:vAlign w:val="center"/>
            <w:hideMark/>
          </w:tcPr>
          <w:p>
            <w:pPr>
              <w:pStyle w:val="style0"/>
              <w:rPr>
                <w:rFonts w:ascii="Century Gothic" w:cs="Calibri" w:hAnsi="Century Gothic"/>
                <w:b/>
                <w:bCs/>
                <w:color w:val="000000"/>
                <w:sz w:val="20"/>
                <w:szCs w:val="20"/>
              </w:rPr>
            </w:pPr>
            <w:r>
              <w:rPr>
                <w:rFonts w:ascii="Century Gothic" w:cs="Calibri" w:hAnsi="Century Gothic"/>
                <w:b/>
                <w:bCs/>
                <w:color w:val="000000"/>
                <w:sz w:val="20"/>
                <w:szCs w:val="20"/>
              </w:rPr>
              <w:t>Bénéficiaires directs</w:t>
            </w:r>
          </w:p>
        </w:tc>
        <w:tc>
          <w:tcPr>
            <w:tcW w:w="4111" w:type="dxa"/>
            <w:tcBorders/>
            <w:shd w:val="clear" w:color="000000" w:fill="00ffff"/>
            <w:vAlign w:val="center"/>
            <w:hideMark/>
          </w:tcPr>
          <w:p>
            <w:pPr>
              <w:pStyle w:val="style0"/>
              <w:rPr>
                <w:rFonts w:ascii="Century Gothic" w:cs="Calibri" w:hAnsi="Century Gothic"/>
                <w:b/>
                <w:bCs/>
                <w:color w:val="000000"/>
                <w:sz w:val="20"/>
                <w:szCs w:val="20"/>
              </w:rPr>
            </w:pPr>
            <w:r>
              <w:rPr>
                <w:rFonts w:ascii="Century Gothic" w:cs="Calibri" w:hAnsi="Century Gothic"/>
                <w:b/>
                <w:bCs/>
                <w:color w:val="000000"/>
                <w:sz w:val="20"/>
                <w:szCs w:val="20"/>
              </w:rPr>
              <w:t> </w:t>
            </w:r>
          </w:p>
        </w:tc>
        <w:tc>
          <w:tcPr>
            <w:tcW w:w="1276" w:type="dxa"/>
            <w:tcBorders/>
            <w:shd w:val="clear" w:color="000000" w:fill="d9d9d9"/>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4025</w:t>
            </w:r>
          </w:p>
        </w:tc>
        <w:tc>
          <w:tcPr>
            <w:tcW w:w="992" w:type="dxa"/>
            <w:tcBorders/>
            <w:shd w:val="clear" w:color="000000" w:fill="d9d9d9"/>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3497</w:t>
            </w:r>
          </w:p>
        </w:tc>
        <w:tc>
          <w:tcPr>
            <w:tcW w:w="1028" w:type="dxa"/>
            <w:tcBorders/>
            <w:shd w:val="clear" w:color="000000" w:fill="d9d9d9"/>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0</w:t>
            </w:r>
          </w:p>
        </w:tc>
        <w:tc>
          <w:tcPr>
            <w:tcW w:w="992" w:type="dxa"/>
            <w:tcBorders/>
            <w:shd w:val="clear" w:color="000000" w:fill="d9d9d9"/>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7472</w:t>
            </w:r>
          </w:p>
        </w:tc>
      </w:tr>
    </w:tbl>
    <w:p>
      <w:pPr>
        <w:pStyle w:val="style0"/>
        <w:rPr/>
      </w:pPr>
    </w:p>
    <w:p>
      <w:pPr>
        <w:pStyle w:val="style0"/>
        <w:rPr/>
      </w:pPr>
    </w:p>
    <w:bookmarkStart w:id="51" w:name="_Toc82046089"/>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5.2 Résultats attendus en termes de séquestration de carbone pour chacune des activités du PDIC</w:t>
      </w:r>
      <w:bookmarkEnd w:id="51"/>
    </w:p>
    <w:p>
      <w:pPr>
        <w:pStyle w:val="style0"/>
        <w:jc w:val="both"/>
        <w:rPr>
          <w:rFonts w:ascii="Century Gothic" w:hAnsi="Century Gothic"/>
        </w:rPr>
      </w:pPr>
    </w:p>
    <w:p>
      <w:pPr>
        <w:pStyle w:val="style0"/>
        <w:jc w:val="both"/>
        <w:rPr>
          <w:rFonts w:ascii="Century Gothic" w:hAnsi="Century Gothic"/>
        </w:rPr>
      </w:pPr>
      <w:r>
        <w:rPr>
          <w:rFonts w:ascii="Century Gothic" w:hAnsi="Century Gothic"/>
        </w:rPr>
        <w:t>Le PDIC REDD+ de Tiébélé a un potentiel de séquestration de de carbone de 79 312 tonnes de CO2 équivalent (79 312 tCO</w:t>
      </w:r>
      <w:r>
        <w:rPr>
          <w:rFonts w:ascii="Century Gothic" w:hAnsi="Century Gothic"/>
          <w:vertAlign w:val="subscript"/>
        </w:rPr>
        <w:t>2</w:t>
      </w:r>
      <w:r>
        <w:rPr>
          <w:rFonts w:ascii="Century Gothic" w:hAnsi="Century Gothic"/>
        </w:rPr>
        <w:t>-e) comme précisé dans le tableau 8 ci-après. De ce fait, le projet de mise en œuvre du PDIC REDD+ de Tiébélé est considéré comme un projet vert (il séquestre plus de carbone qu’il en émette).</w:t>
      </w:r>
    </w:p>
    <w:p>
      <w:pPr>
        <w:pStyle w:val="style0"/>
        <w:jc w:val="both"/>
        <w:rPr>
          <w:rFonts w:ascii="Century Gothic" w:hAnsi="Century Gothic"/>
        </w:rPr>
      </w:pPr>
    </w:p>
    <w:p>
      <w:pPr>
        <w:pStyle w:val="style0"/>
        <w:jc w:val="both"/>
        <w:rPr>
          <w:rFonts w:ascii="Century Gothic" w:hAnsi="Century Gothic"/>
        </w:rPr>
      </w:pPr>
      <w:r>
        <w:rPr>
          <w:rFonts w:ascii="Century Gothic" w:hAnsi="Century Gothic"/>
        </w:rPr>
        <w:t xml:space="preserve">Ce carbone sera séquestré à travers les activités de reboisement planifiées (0,37%) et surtout par la bonne gestion des espaces de conservation (99,10%) avec en tête celui de Kaya qui a une superficie relativement importante. Notons également que l’adoption des meilleures pratiques agricoles permettra également de réduire les émissions de carbone et de séquestrer 0,53% du carbone séquestré grâce à la mise en œuvre de l’ensemble du PDIC. </w:t>
      </w:r>
    </w:p>
    <w:p>
      <w:pPr>
        <w:pStyle w:val="style0"/>
        <w:jc w:val="both"/>
        <w:rPr>
          <w:rFonts w:ascii="Century Gothic" w:hAnsi="Century Gothic"/>
        </w:rPr>
      </w:pPr>
    </w:p>
    <w:p>
      <w:pPr>
        <w:pStyle w:val="style0"/>
        <w:jc w:val="both"/>
        <w:rPr>
          <w:rFonts w:ascii="Century Gothic" w:hAnsi="Century Gothic"/>
        </w:rPr>
      </w:pPr>
      <w:r>
        <w:rPr>
          <w:rFonts w:ascii="Century Gothic" w:hAnsi="Century Gothic"/>
        </w:rPr>
        <w:t>Par ailleurs, la mise en œuvre du PDIC va engendrer l’émission de 4 433 tCO</w:t>
      </w:r>
      <w:r>
        <w:rPr>
          <w:rFonts w:ascii="Century Gothic" w:hAnsi="Century Gothic"/>
          <w:vertAlign w:val="subscript"/>
        </w:rPr>
        <w:t>2</w:t>
      </w:r>
      <w:r>
        <w:rPr>
          <w:rFonts w:ascii="Century Gothic" w:hAnsi="Century Gothic"/>
        </w:rPr>
        <w:t xml:space="preserve">-e consécutive à cause de l’utilisation du carburant pour les motocyclettes et voitures lors des différents déplacements et du fonctionnement des unités de transformation des PFNL. De toutes les activités du PDIC REDD+ de Tiébélé, c’est la production de la fumure organique qui engendre la plus grande émission de CO2 à cause surtout du dégagement du méthane issu des déjections (des ruminants notamment les bœufs) utilisées dans le processus de production de la fumure organique comme présenté en annexe 2. </w:t>
      </w:r>
    </w:p>
    <w:p>
      <w:pPr>
        <w:pStyle w:val="style0"/>
        <w:jc w:val="both"/>
        <w:rPr>
          <w:rFonts w:ascii="Century Gothic" w:hAnsi="Century Gothic"/>
        </w:rPr>
      </w:pPr>
    </w:p>
    <w:p>
      <w:pPr>
        <w:pStyle w:val="style0"/>
        <w:jc w:val="both"/>
        <w:rPr>
          <w:rFonts w:ascii="Century Gothic" w:hAnsi="Century Gothic"/>
        </w:rPr>
      </w:pPr>
      <w:r>
        <w:rPr>
          <w:rFonts w:ascii="Century Gothic" w:hAnsi="Century Gothic"/>
        </w:rPr>
        <w:t>Il est important de souligner qu’en termes de potentialité de séquestration du carbone, la création et/ou la gestion des espaces de conservation est largement plus avantageuse que le reboisement dans les agrosystèmes. Le cas de la mise en œuvre du présent PDIC est plus qu’illustratif.</w:t>
      </w:r>
    </w:p>
    <w:p>
      <w:pPr>
        <w:pStyle w:val="style0"/>
        <w:jc w:val="both"/>
        <w:rPr>
          <w:rFonts w:ascii="Century Gothic" w:hAnsi="Century Gothic"/>
        </w:rPr>
      </w:pPr>
      <w:r>
        <w:rPr>
          <w:rFonts w:ascii="Century Gothic" w:hAnsi="Century Gothic"/>
        </w:rPr>
        <w:t>En effet, la gestion des deux espaces de conservation d’une superficie totale de 491 ha permet d’obtenir un potentiel de séquestration de 82 993 tCO</w:t>
      </w:r>
      <w:r>
        <w:rPr>
          <w:rFonts w:ascii="Century Gothic" w:hAnsi="Century Gothic"/>
          <w:vertAlign w:val="subscript"/>
        </w:rPr>
        <w:t>2</w:t>
      </w:r>
      <w:r>
        <w:rPr>
          <w:rFonts w:ascii="Century Gothic" w:hAnsi="Century Gothic"/>
        </w:rPr>
        <w:t xml:space="preserve">-e tandis que </w:t>
      </w:r>
      <w:r>
        <w:rPr>
          <w:rFonts w:ascii="Century Gothic" w:hAnsi="Century Gothic"/>
          <w:b/>
        </w:rPr>
        <w:t>le</w:t>
      </w:r>
      <w:r>
        <w:rPr>
          <w:rFonts w:ascii="Century Gothic" w:hAnsi="Century Gothic"/>
        </w:rPr>
        <w:t xml:space="preserve"> </w:t>
      </w:r>
      <w:r>
        <w:rPr>
          <w:rFonts w:ascii="Century Gothic" w:hAnsi="Century Gothic"/>
          <w:b/>
        </w:rPr>
        <w:t>reboisement</w:t>
      </w:r>
      <w:r>
        <w:rPr>
          <w:rFonts w:ascii="Century Gothic" w:hAnsi="Century Gothic"/>
        </w:rPr>
        <w:t xml:space="preserve"> de </w:t>
      </w:r>
      <w:r>
        <w:rPr>
          <w:rFonts w:ascii="Century Gothic" w:hAnsi="Century Gothic"/>
        </w:rPr>
        <w:t>37</w:t>
      </w:r>
      <w:r>
        <w:rPr>
          <w:rFonts w:ascii="Century Gothic" w:hAnsi="Century Gothic"/>
        </w:rPr>
        <w:t> 500 plants sur 180 ha en raison de 625 pieds à l’hectare n’a qu’un potentiel de séquestration de 309 tCO</w:t>
      </w:r>
      <w:r>
        <w:rPr>
          <w:rFonts w:ascii="Century Gothic" w:hAnsi="Century Gothic"/>
          <w:vertAlign w:val="subscript"/>
        </w:rPr>
        <w:t>2</w:t>
      </w:r>
      <w:r>
        <w:rPr>
          <w:rFonts w:ascii="Century Gothic" w:hAnsi="Century Gothic"/>
        </w:rPr>
        <w:t xml:space="preserve">-e. soit </w:t>
      </w:r>
      <w:r>
        <w:rPr>
          <w:rFonts w:ascii="Century Gothic" w:hAnsi="Century Gothic"/>
          <w:b/>
        </w:rPr>
        <w:t>0</w:t>
      </w:r>
      <w:r>
        <w:rPr>
          <w:rFonts w:ascii="Century Gothic" w:hAnsi="Century Gothic"/>
          <w:b/>
        </w:rPr>
        <w:t>,</w:t>
      </w:r>
      <w:r>
        <w:rPr>
          <w:rFonts w:ascii="Century Gothic" w:hAnsi="Century Gothic"/>
          <w:b/>
        </w:rPr>
        <w:t>37%</w:t>
      </w:r>
      <w:r>
        <w:rPr>
          <w:rFonts w:ascii="Century Gothic" w:hAnsi="Century Gothic"/>
        </w:rPr>
        <w:t xml:space="preserve"> </w:t>
      </w:r>
      <w:r>
        <w:rPr>
          <w:rFonts w:ascii="Century Gothic" w:hAnsi="Century Gothic"/>
          <w:b/>
        </w:rPr>
        <w:t>du carbone séquestré</w:t>
      </w:r>
      <w:r>
        <w:rPr>
          <w:rFonts w:ascii="Century Gothic" w:hAnsi="Century Gothic"/>
        </w:rPr>
        <w:t>.</w:t>
      </w:r>
    </w:p>
    <w:p>
      <w:pPr>
        <w:pStyle w:val="style0"/>
        <w:jc w:val="both"/>
        <w:rPr>
          <w:rFonts w:ascii="Century Gothic" w:hAnsi="Century Gothic"/>
        </w:rPr>
      </w:pPr>
    </w:p>
    <w:p>
      <w:pPr>
        <w:pStyle w:val="style0"/>
        <w:jc w:val="both"/>
        <w:rPr>
          <w:rFonts w:ascii="Century Gothic" w:hAnsi="Century Gothic"/>
        </w:rPr>
      </w:pPr>
      <w:r>
        <w:rPr>
          <w:rFonts w:ascii="Century Gothic" w:hAnsi="Century Gothic"/>
        </w:rPr>
        <w:t>De ce fait, dans le cadre de la mise en œuvre des projets REDD+, la création des espaces de conservation est vivement conseillée.</w:t>
      </w:r>
    </w:p>
    <w:p>
      <w:pPr>
        <w:pStyle w:val="style0"/>
        <w:rPr>
          <w:rFonts w:ascii="Century Gothic" w:hAnsi="Century Gothic"/>
        </w:rPr>
      </w:pPr>
    </w:p>
    <w:p>
      <w:pPr>
        <w:pStyle w:val="style0"/>
        <w:rPr>
          <w:rFonts w:ascii="Century Gothic" w:hAnsi="Century Gothic"/>
        </w:rPr>
        <w:sectPr>
          <w:pgSz w:w="11920" w:h="16840" w:orient="portrait"/>
          <w:pgMar w:top="1134" w:right="1134" w:bottom="1134" w:left="1134" w:header="709" w:footer="709" w:gutter="0"/>
          <w:cols w:space="708"/>
          <w:docGrid w:linePitch="360"/>
        </w:sectPr>
      </w:pPr>
    </w:p>
    <w:bookmarkStart w:id="52" w:name="_Toc82223252"/>
    <w:bookmarkStart w:id="53" w:name="_Toc82333840"/>
    <w:p>
      <w:pPr>
        <w:pStyle w:val="style34"/>
        <w:rPr>
          <w:rFonts w:ascii="Century Gothic" w:hAnsi="Century Gothic"/>
          <w:color w:val="auto"/>
          <w:sz w:val="22"/>
          <w:szCs w:val="22"/>
        </w:rPr>
      </w:pPr>
      <w:r>
        <w:rPr>
          <w:rFonts w:ascii="Century Gothic" w:hAnsi="Century Gothic"/>
          <w:color w:val="auto"/>
          <w:sz w:val="22"/>
          <w:szCs w:val="22"/>
        </w:rPr>
        <w:t xml:space="preserve">Tableau </w:t>
      </w:r>
      <w:r>
        <w:rPr>
          <w:rFonts w:ascii="Century Gothic" w:hAnsi="Century Gothic"/>
          <w:color w:val="auto"/>
          <w:sz w:val="22"/>
          <w:szCs w:val="22"/>
        </w:rPr>
        <w:fldChar w:fldCharType="begin"/>
      </w:r>
      <w:r>
        <w:rPr>
          <w:rFonts w:ascii="Century Gothic" w:hAnsi="Century Gothic"/>
          <w:color w:val="auto"/>
          <w:sz w:val="22"/>
          <w:szCs w:val="22"/>
        </w:rPr>
        <w:instrText xml:space="preserve"> SEQ Tableau \* ROMAN </w:instrText>
      </w:r>
      <w:r>
        <w:rPr>
          <w:rFonts w:ascii="Century Gothic" w:hAnsi="Century Gothic"/>
          <w:color w:val="auto"/>
          <w:sz w:val="22"/>
          <w:szCs w:val="22"/>
        </w:rPr>
        <w:fldChar w:fldCharType="separate"/>
      </w:r>
      <w:r>
        <w:rPr>
          <w:rFonts w:ascii="Century Gothic" w:hAnsi="Century Gothic"/>
          <w:noProof/>
          <w:color w:val="auto"/>
          <w:sz w:val="22"/>
          <w:szCs w:val="22"/>
        </w:rPr>
        <w:t>VIII</w:t>
      </w:r>
      <w:r>
        <w:rPr>
          <w:rFonts w:ascii="Century Gothic" w:hAnsi="Century Gothic"/>
          <w:color w:val="auto"/>
          <w:sz w:val="22"/>
          <w:szCs w:val="22"/>
        </w:rPr>
        <w:fldChar w:fldCharType="end"/>
      </w:r>
      <w:r>
        <w:rPr>
          <w:rFonts w:ascii="Century Gothic" w:hAnsi="Century Gothic"/>
          <w:color w:val="auto"/>
          <w:sz w:val="22"/>
          <w:szCs w:val="22"/>
        </w:rPr>
        <w:t>: Bilan carbone du PDIC REDD+ de Tiébélé</w:t>
      </w:r>
      <w:bookmarkEnd w:id="52"/>
      <w:bookmarkEnd w:id="53"/>
    </w:p>
    <w:p>
      <w:pPr>
        <w:pStyle w:val="style0"/>
        <w:rPr/>
      </w:pPr>
      <w:r>
        <w:rPr>
          <w:noProof/>
        </w:rPr>
        <w:drawing>
          <wp:inline distL="0" distT="0" distB="0" distR="0">
            <wp:extent cx="9253220" cy="4470400"/>
            <wp:effectExtent l="0" t="0" r="5080" b="6350"/>
            <wp:docPr id="1040" name="Imag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5"/>
                    <pic:cNvPicPr/>
                  </pic:nvPicPr>
                  <pic:blipFill>
                    <a:blip r:embed="rId15" cstate="print"/>
                    <a:srcRect l="0" t="0" r="0" b="0"/>
                    <a:stretch/>
                  </pic:blipFill>
                  <pic:spPr>
                    <a:xfrm rot="0">
                      <a:off x="0" y="0"/>
                      <a:ext cx="9253220" cy="4470400"/>
                    </a:xfrm>
                    <a:prstGeom prst="rect"/>
                  </pic:spPr>
                </pic:pic>
              </a:graphicData>
            </a:graphic>
          </wp:inline>
        </w:drawing>
      </w: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sectPr>
          <w:pgSz w:w="16840" w:h="11920" w:orient="landscape"/>
          <w:pgMar w:top="1134" w:right="1134" w:bottom="1134" w:left="1134" w:header="709" w:footer="709" w:gutter="0"/>
          <w:cols w:space="708"/>
          <w:docGrid w:linePitch="360"/>
        </w:sectPr>
      </w:pPr>
    </w:p>
    <w:bookmarkStart w:id="54" w:name="_Toc82046090"/>
    <w:p>
      <w:pPr>
        <w:pStyle w:val="style1"/>
        <w:numPr>
          <w:ilvl w:val="0"/>
          <w:numId w:val="0"/>
        </w:numPr>
        <w:tabs>
          <w:tab w:val="left" w:leader="none" w:pos="9214"/>
          <w:tab w:val="left" w:leader="none" w:pos="9639"/>
        </w:tabs>
        <w:spacing w:before="0" w:after="0"/>
        <w:rPr>
          <w:rFonts w:ascii="Century Gothic" w:hAnsi="Century Gothic"/>
          <w:sz w:val="24"/>
          <w:szCs w:val="24"/>
          <w:u w:val="single"/>
        </w:rPr>
      </w:pPr>
      <w:r>
        <w:rPr>
          <w:rFonts w:ascii="Century Gothic" w:hAnsi="Century Gothic"/>
          <w:sz w:val="24"/>
          <w:szCs w:val="24"/>
          <w:u w:val="single"/>
        </w:rPr>
        <w:t>5.3  résultats attendus en termes de co-bénéfices</w:t>
      </w:r>
      <w:bookmarkEnd w:id="54"/>
    </w:p>
    <w:p>
      <w:pPr>
        <w:pStyle w:val="style0"/>
        <w:tabs>
          <w:tab w:val="left" w:leader="none" w:pos="9214"/>
          <w:tab w:val="left" w:leader="none" w:pos="9639"/>
        </w:tabs>
        <w:jc w:val="both"/>
        <w:rPr>
          <w:rFonts w:ascii="Century Gothic" w:hAnsi="Century Gothic"/>
          <w:i/>
        </w:rPr>
      </w:pPr>
    </w:p>
    <w:bookmarkStart w:id="55" w:name="_Toc506538023"/>
    <w:bookmarkStart w:id="56" w:name="_Toc82046091"/>
    <w:p>
      <w:pPr>
        <w:pStyle w:val="style3"/>
        <w:numPr>
          <w:ilvl w:val="0"/>
          <w:numId w:val="0"/>
        </w:numPr>
        <w:tabs>
          <w:tab w:val="left" w:leader="none" w:pos="9214"/>
          <w:tab w:val="left" w:leader="none" w:pos="9639"/>
        </w:tabs>
        <w:rPr>
          <w:rFonts w:ascii="Century Gothic" w:hAnsi="Century Gothic"/>
          <w:szCs w:val="24"/>
        </w:rPr>
      </w:pPr>
      <w:r>
        <w:rPr>
          <w:rFonts w:ascii="Century Gothic" w:hAnsi="Century Gothic"/>
          <w:szCs w:val="24"/>
        </w:rPr>
        <w:t>5.3.1. Au niveau environnemental</w:t>
      </w:r>
      <w:bookmarkEnd w:id="55"/>
      <w:bookmarkEnd w:id="56"/>
    </w:p>
    <w:p>
      <w:pPr>
        <w:pStyle w:val="style0"/>
        <w:tabs>
          <w:tab w:val="left" w:leader="none" w:pos="9214"/>
          <w:tab w:val="left" w:leader="none" w:pos="9639"/>
        </w:tabs>
        <w:jc w:val="both"/>
        <w:rPr>
          <w:rFonts w:ascii="Century Gothic" w:hAnsi="Century Gothic"/>
          <w:b/>
          <w:i/>
        </w:rPr>
      </w:pPr>
    </w:p>
    <w:p>
      <w:pPr>
        <w:pStyle w:val="style0"/>
        <w:tabs>
          <w:tab w:val="left" w:leader="none" w:pos="9214"/>
          <w:tab w:val="left" w:leader="none" w:pos="9639"/>
        </w:tabs>
        <w:jc w:val="both"/>
        <w:rPr>
          <w:rFonts w:ascii="Century Gothic" w:hAnsi="Century Gothic"/>
        </w:rPr>
      </w:pPr>
      <w:r>
        <w:rPr>
          <w:rFonts w:ascii="Century Gothic" w:hAnsi="Century Gothic"/>
        </w:rPr>
        <w:t>Les investissements dans les espaces de conservation (délimitation, protection, enrichissement contribueront à créer un contexte de quiétude favorable au développement de la faune sauvage et aux possibilités de développement d’autres activités de valorisation comme le tourisme ;</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Les réalisations de renforcement des productivités (</w:t>
      </w:r>
      <w:r>
        <w:rPr>
          <w:rFonts w:ascii="Century Gothic" w:hAnsi="Century Gothic"/>
        </w:rPr>
        <w:t>promotion de la fumure organique</w:t>
      </w:r>
      <w:r>
        <w:rPr>
          <w:rFonts w:ascii="Century Gothic" w:hAnsi="Century Gothic"/>
        </w:rPr>
        <w:t xml:space="preserve">, régénération naturelle assistée, </w:t>
      </w:r>
      <w:r>
        <w:rPr>
          <w:rFonts w:ascii="Century Gothic" w:hAnsi="Century Gothic"/>
        </w:rPr>
        <w:t>fauche et conservation du fourrage</w:t>
      </w:r>
      <w:r>
        <w:rPr>
          <w:rFonts w:ascii="Century Gothic" w:hAnsi="Century Gothic"/>
        </w:rPr>
        <w:t xml:space="preserve"> renforcement non seulement les sols </w:t>
      </w:r>
      <w:r>
        <w:rPr>
          <w:rFonts w:ascii="Century Gothic" w:hAnsi="Century Gothic"/>
        </w:rPr>
        <w:t>et le</w:t>
      </w:r>
      <w:r>
        <w:rPr>
          <w:rFonts w:ascii="Century Gothic" w:hAnsi="Century Gothic"/>
        </w:rPr>
        <w:t xml:space="preserve"> couvert végétal, mais aussi créeront des conditions favorables au développement de la micro faune (insectes pollinisateurs, var</w:t>
      </w:r>
      <w:r>
        <w:rPr>
          <w:rFonts w:ascii="Century Gothic" w:hAnsi="Century Gothic"/>
        </w:rPr>
        <w:t>ans, serpents dans les champs);</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r>
        <w:rPr>
          <w:rFonts w:ascii="Century Gothic" w:hAnsi="Century Gothic"/>
        </w:rPr>
        <w:t xml:space="preserve">Enfin la mise en œuvre du PDIC/REDD+ dans la commune contribuera à séquestrer </w:t>
      </w:r>
      <w:r>
        <w:rPr>
          <w:rFonts w:ascii="Century Gothic" w:hAnsi="Century Gothic"/>
          <w:b/>
          <w:i/>
        </w:rPr>
        <w:t>79 312 tonnes de CO2 équivalent (79 312 tCO</w:t>
      </w:r>
      <w:r>
        <w:rPr>
          <w:rFonts w:ascii="Century Gothic" w:hAnsi="Century Gothic"/>
          <w:b/>
          <w:i/>
          <w:vertAlign w:val="subscript"/>
        </w:rPr>
        <w:t>2</w:t>
      </w:r>
      <w:r>
        <w:rPr>
          <w:rFonts w:ascii="Century Gothic" w:hAnsi="Century Gothic"/>
          <w:b/>
          <w:i/>
        </w:rPr>
        <w:t>-e)</w:t>
      </w:r>
      <w:r>
        <w:rPr>
          <w:rFonts w:ascii="Century Gothic" w:hAnsi="Century Gothic"/>
          <w:b/>
          <w:i/>
        </w:rPr>
        <w:t>.</w:t>
      </w:r>
      <w:r>
        <w:rPr>
          <w:rFonts w:ascii="Century Gothic" w:hAnsi="Century Gothic"/>
        </w:rPr>
        <w:t xml:space="preserve"> Ce qui sera d’une importance inestimable en terme de contribution à la préservation de l’environnement d’une part et d’autre part à renforcer la contribution nationale déterminer du Pays en terme d’engagement du Pays en faveur de la réduction des Gaz à effet de serre.</w:t>
      </w:r>
    </w:p>
    <w:p>
      <w:pPr>
        <w:pStyle w:val="style0"/>
        <w:tabs>
          <w:tab w:val="left" w:leader="none" w:pos="9214"/>
          <w:tab w:val="left" w:leader="none" w:pos="9639"/>
        </w:tabs>
        <w:jc w:val="both"/>
        <w:rPr>
          <w:rFonts w:ascii="Century Gothic" w:hAnsi="Century Gothic"/>
        </w:rPr>
      </w:pPr>
    </w:p>
    <w:bookmarkStart w:id="57" w:name="_Toc506538024"/>
    <w:bookmarkStart w:id="58" w:name="_Toc82046092"/>
    <w:p>
      <w:pPr>
        <w:pStyle w:val="style3"/>
        <w:numPr>
          <w:ilvl w:val="0"/>
          <w:numId w:val="0"/>
        </w:numPr>
        <w:tabs>
          <w:tab w:val="left" w:leader="none" w:pos="9214"/>
          <w:tab w:val="left" w:leader="none" w:pos="9639"/>
        </w:tabs>
        <w:rPr>
          <w:rFonts w:ascii="Century Gothic" w:hAnsi="Century Gothic"/>
          <w:szCs w:val="24"/>
        </w:rPr>
      </w:pPr>
      <w:r>
        <w:rPr>
          <w:rFonts w:ascii="Century Gothic" w:hAnsi="Century Gothic"/>
          <w:szCs w:val="24"/>
        </w:rPr>
        <w:t>5.3.2. Au niveau socioéconomique</w:t>
      </w:r>
      <w:bookmarkEnd w:id="57"/>
      <w:bookmarkEnd w:id="58"/>
    </w:p>
    <w:p>
      <w:pPr>
        <w:pStyle w:val="style0"/>
        <w:tabs>
          <w:tab w:val="left" w:leader="none" w:pos="9214"/>
          <w:tab w:val="left" w:leader="none" w:pos="9639"/>
        </w:tabs>
        <w:jc w:val="both"/>
        <w:rPr>
          <w:rFonts w:ascii="Century Gothic" w:hAnsi="Century Gothic"/>
          <w:i/>
        </w:rPr>
      </w:pPr>
    </w:p>
    <w:p>
      <w:pPr>
        <w:pStyle w:val="style179"/>
        <w:numPr>
          <w:ilvl w:val="0"/>
          <w:numId w:val="14"/>
        </w:numPr>
        <w:tabs>
          <w:tab w:val="left" w:leader="none" w:pos="9214"/>
          <w:tab w:val="left" w:leader="none" w:pos="9639"/>
        </w:tabs>
        <w:ind w:left="360"/>
        <w:jc w:val="both"/>
        <w:rPr>
          <w:rFonts w:ascii="Century Gothic" w:hAnsi="Century Gothic"/>
        </w:rPr>
      </w:pPr>
      <w:r>
        <w:rPr>
          <w:rFonts w:ascii="Century Gothic" w:hAnsi="Century Gothic"/>
        </w:rPr>
        <w:t>Les capacités techniques et connaissances acquises lors des séances d’information et de sensibilisation renforceront les aptitudes des communautés et les possibilités de formation d’autres producteurs au sein de la communauté</w:t>
      </w:r>
      <w:r>
        <w:rPr>
          <w:rFonts w:ascii="Century Gothic" w:hAnsi="Century Gothic"/>
        </w:rPr>
        <w:t> ;</w:t>
      </w:r>
      <w:r>
        <w:rPr>
          <w:rFonts w:ascii="Century Gothic" w:hAnsi="Century Gothic"/>
        </w:rPr>
        <w:t xml:space="preserve"> </w:t>
      </w:r>
    </w:p>
    <w:p>
      <w:pPr>
        <w:pStyle w:val="style179"/>
        <w:tabs>
          <w:tab w:val="left" w:leader="none" w:pos="9214"/>
          <w:tab w:val="left" w:leader="none" w:pos="9639"/>
        </w:tabs>
        <w:ind w:left="0"/>
        <w:jc w:val="both"/>
        <w:rPr>
          <w:rFonts w:ascii="Century Gothic" w:hAnsi="Century Gothic"/>
        </w:rPr>
      </w:pPr>
    </w:p>
    <w:p>
      <w:pPr>
        <w:pStyle w:val="style179"/>
        <w:numPr>
          <w:ilvl w:val="0"/>
          <w:numId w:val="14"/>
        </w:numPr>
        <w:tabs>
          <w:tab w:val="left" w:leader="none" w:pos="9214"/>
          <w:tab w:val="left" w:leader="none" w:pos="9639"/>
        </w:tabs>
        <w:ind w:left="360"/>
        <w:jc w:val="both"/>
        <w:rPr>
          <w:rFonts w:ascii="Century Gothic" w:hAnsi="Century Gothic"/>
        </w:rPr>
      </w:pPr>
      <w:r>
        <w:rPr>
          <w:rFonts w:ascii="Century Gothic" w:hAnsi="Century Gothic"/>
        </w:rPr>
        <w:t>Les activités de génération de revenus contribueront à la création d’emplois verts dans les secteurs d’activités suivantes :</w:t>
      </w:r>
    </w:p>
    <w:p>
      <w:pPr>
        <w:pStyle w:val="style179"/>
        <w:tabs>
          <w:tab w:val="left" w:leader="none" w:pos="9214"/>
          <w:tab w:val="left" w:leader="none" w:pos="9639"/>
        </w:tabs>
        <w:ind w:left="0"/>
        <w:jc w:val="both"/>
        <w:rPr>
          <w:rFonts w:ascii="Century Gothic" w:hAnsi="Century Gothic"/>
        </w:rPr>
      </w:pPr>
    </w:p>
    <w:p>
      <w:pPr>
        <w:pStyle w:val="style179"/>
        <w:numPr>
          <w:ilvl w:val="0"/>
          <w:numId w:val="15"/>
        </w:numPr>
        <w:tabs>
          <w:tab w:val="left" w:leader="none" w:pos="9214"/>
          <w:tab w:val="left" w:leader="none" w:pos="9639"/>
        </w:tabs>
        <w:ind w:left="360"/>
        <w:jc w:val="both"/>
        <w:rPr>
          <w:rFonts w:ascii="Century Gothic" w:hAnsi="Century Gothic"/>
        </w:rPr>
      </w:pPr>
      <w:r>
        <w:rPr>
          <w:rFonts w:ascii="Century Gothic" w:hAnsi="Century Gothic"/>
          <w:i/>
          <w:u w:val="single"/>
        </w:rPr>
        <w:t>La production de plants dans la pépinière multifonctionnelle</w:t>
      </w:r>
      <w:r>
        <w:rPr>
          <w:rFonts w:ascii="Century Gothic" w:hAnsi="Century Gothic"/>
        </w:rPr>
        <w:t xml:space="preserve"> permettra à cinq (5) pépiniéristes de générer en moyenne 5 077 500 F CFA dans la vente des plants. A cela s’ajoutera les recettes qui pourront être générées des productions de contre saison comme les choux, les tomates, le piment, les aubergines, etc. </w:t>
      </w:r>
    </w:p>
    <w:p>
      <w:pPr>
        <w:pStyle w:val="style179"/>
        <w:tabs>
          <w:tab w:val="left" w:leader="none" w:pos="9214"/>
          <w:tab w:val="left" w:leader="none" w:pos="9639"/>
        </w:tabs>
        <w:ind w:left="0"/>
        <w:jc w:val="both"/>
        <w:rPr>
          <w:rFonts w:ascii="Century Gothic" w:hAnsi="Century Gothic"/>
        </w:rPr>
      </w:pPr>
    </w:p>
    <w:p>
      <w:pPr>
        <w:pStyle w:val="style179"/>
        <w:numPr>
          <w:ilvl w:val="0"/>
          <w:numId w:val="16"/>
        </w:numPr>
        <w:tabs>
          <w:tab w:val="left" w:leader="none" w:pos="1701"/>
          <w:tab w:val="left" w:leader="none" w:pos="9214"/>
          <w:tab w:val="left" w:leader="none" w:pos="9639"/>
        </w:tabs>
        <w:suppressAutoHyphens/>
        <w:jc w:val="both"/>
        <w:rPr>
          <w:rFonts w:ascii="Century Gothic" w:hAnsi="Century Gothic"/>
        </w:rPr>
      </w:pPr>
      <w:r>
        <w:rPr>
          <w:rFonts w:ascii="Century Gothic" w:hAnsi="Century Gothic"/>
          <w:i/>
          <w:u w:val="single"/>
        </w:rPr>
        <w:t>Les activités de transformation et commercialisation des produits forestiers non ligneux</w:t>
      </w:r>
      <w:r>
        <w:rPr>
          <w:rFonts w:ascii="Century Gothic" w:hAnsi="Century Gothic"/>
        </w:rPr>
        <w:t xml:space="preserve"> comme le beurre, le soumbala, la poudre de pain de singe augmenteront les revenus d’au moins cent (100) femmes de l’union des coopératives KOUDJIGUI-TINA</w:t>
      </w:r>
      <w:r>
        <w:rPr>
          <w:rFonts w:ascii="Century Gothic" w:hAnsi="Century Gothic"/>
          <w:bCs/>
        </w:rPr>
        <w:t xml:space="preserve"> de Tiébélé </w:t>
      </w:r>
      <w:r>
        <w:rPr>
          <w:rFonts w:ascii="Century Gothic" w:hAnsi="Century Gothic"/>
        </w:rPr>
        <w:t>;</w:t>
      </w:r>
    </w:p>
    <w:p>
      <w:pPr>
        <w:pStyle w:val="style179"/>
        <w:rPr>
          <w:rFonts w:ascii="Century Gothic" w:hAnsi="Century Gothic"/>
        </w:rPr>
      </w:pPr>
    </w:p>
    <w:p>
      <w:pPr>
        <w:pStyle w:val="style179"/>
        <w:numPr>
          <w:ilvl w:val="0"/>
          <w:numId w:val="15"/>
        </w:numPr>
        <w:tabs>
          <w:tab w:val="left" w:leader="none" w:pos="9214"/>
          <w:tab w:val="left" w:leader="none" w:pos="9639"/>
        </w:tabs>
        <w:ind w:left="426"/>
        <w:jc w:val="both"/>
        <w:rPr>
          <w:rFonts w:ascii="Century Gothic" w:hAnsi="Century Gothic"/>
        </w:rPr>
      </w:pPr>
      <w:r>
        <w:rPr>
          <w:rFonts w:ascii="Century Gothic" w:hAnsi="Century Gothic"/>
          <w:i/>
          <w:u w:val="single"/>
        </w:rPr>
        <w:t>Le développement de l’apiculture</w:t>
      </w:r>
      <w:r>
        <w:rPr>
          <w:rFonts w:ascii="Century Gothic" w:hAnsi="Century Gothic"/>
        </w:rPr>
        <w:t xml:space="preserve"> offrira l’opportunité à </w:t>
      </w:r>
      <w:r>
        <w:rPr>
          <w:rFonts w:ascii="Century Gothic" w:hAnsi="Century Gothic"/>
        </w:rPr>
        <w:t>soixante (6</w:t>
      </w:r>
      <w:r>
        <w:rPr>
          <w:rFonts w:ascii="Century Gothic" w:hAnsi="Century Gothic"/>
        </w:rPr>
        <w:t xml:space="preserve">0) </w:t>
      </w:r>
      <w:r>
        <w:rPr>
          <w:rFonts w:ascii="Century Gothic" w:hAnsi="Century Gothic"/>
        </w:rPr>
        <w:t xml:space="preserve">jeunes </w:t>
      </w:r>
      <w:r>
        <w:rPr>
          <w:rFonts w:ascii="Century Gothic" w:hAnsi="Century Gothic"/>
        </w:rPr>
        <w:t>et femmes de diversifier leurs sources de revenus. En effet, sur la base d’une production annuelle moyenne de 30 kg de miel par ruche, chaque bénéficiaire, avec cinq (5) ruches génèrera environ 150gk de miel. Ce qui donne, sur la base de 2000 F CFA le kg de miel, un revenu d’environ 300 000 F CFA par an et par bénéficiaire.</w:t>
      </w:r>
      <w:r>
        <w:rPr>
          <w:rFonts w:ascii="Century Gothic" w:hAnsi="Century Gothic"/>
        </w:rPr>
        <w:t xml:space="preserve"> Ce qui donne environ 18 000 000 F CFA durant toute la durée du PDIC/REDD+ pour les 60 bénéficiaires dont 24 femmes.</w:t>
      </w:r>
      <w:r>
        <w:rPr>
          <w:rFonts w:ascii="Century Gothic" w:hAnsi="Century Gothic"/>
        </w:rPr>
        <w:t xml:space="preserve"> </w:t>
      </w:r>
    </w:p>
    <w:p>
      <w:pPr>
        <w:pStyle w:val="style179"/>
        <w:rPr>
          <w:rFonts w:ascii="Century Gothic" w:hAnsi="Century Gothic"/>
        </w:rPr>
      </w:pPr>
    </w:p>
    <w:p>
      <w:pPr>
        <w:pStyle w:val="style179"/>
        <w:numPr>
          <w:ilvl w:val="0"/>
          <w:numId w:val="15"/>
        </w:numPr>
        <w:tabs>
          <w:tab w:val="left" w:leader="none" w:pos="9214"/>
          <w:tab w:val="left" w:leader="none" w:pos="9639"/>
        </w:tabs>
        <w:ind w:left="0"/>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p>
    <w:p>
      <w:pPr>
        <w:pStyle w:val="style179"/>
        <w:numPr>
          <w:ilvl w:val="0"/>
          <w:numId w:val="15"/>
        </w:numPr>
        <w:tabs>
          <w:tab w:val="left" w:leader="none" w:pos="9214"/>
          <w:tab w:val="left" w:leader="none" w:pos="9639"/>
        </w:tabs>
        <w:ind w:left="360"/>
        <w:jc w:val="both"/>
        <w:rPr>
          <w:rFonts w:ascii="Century Gothic" w:hAnsi="Century Gothic"/>
        </w:rPr>
      </w:pPr>
      <w:r>
        <w:rPr>
          <w:rFonts w:ascii="Century Gothic" w:hAnsi="Century Gothic"/>
          <w:i/>
          <w:u w:val="single"/>
        </w:rPr>
        <w:t>La promotion de l’activité de fauche et de conservation</w:t>
      </w:r>
      <w:r>
        <w:rPr>
          <w:rFonts w:ascii="Century Gothic" w:hAnsi="Century Gothic"/>
        </w:rPr>
        <w:t xml:space="preserve"> constituera une opportunité de création d’emploi verte à travers la fauche et la commercialisation du fourrage naturelle. Le contexte écologique de la commune marqué par une raréfaction des ressources pastorale offre des perspectives assez intéressantes pour le développement de cette activité comme activité de génération de revenus.  </w:t>
      </w:r>
    </w:p>
    <w:p>
      <w:pPr>
        <w:pStyle w:val="style0"/>
        <w:tabs>
          <w:tab w:val="left" w:leader="none" w:pos="9214"/>
          <w:tab w:val="left" w:leader="none" w:pos="9639"/>
        </w:tabs>
        <w:jc w:val="both"/>
        <w:rPr>
          <w:rFonts w:ascii="Century Gothic" w:hAnsi="Century Gothic"/>
        </w:rPr>
      </w:pPr>
    </w:p>
    <w:p>
      <w:pPr>
        <w:pStyle w:val="style179"/>
        <w:numPr>
          <w:ilvl w:val="0"/>
          <w:numId w:val="14"/>
        </w:numPr>
        <w:tabs>
          <w:tab w:val="left" w:leader="none" w:pos="9214"/>
          <w:tab w:val="left" w:leader="none" w:pos="9639"/>
        </w:tabs>
        <w:ind w:left="360"/>
        <w:jc w:val="both"/>
        <w:rPr>
          <w:rFonts w:ascii="Century Gothic" w:hAnsi="Century Gothic"/>
        </w:rPr>
      </w:pPr>
      <w:r>
        <w:rPr>
          <w:rFonts w:ascii="Century Gothic" w:hAnsi="Century Gothic"/>
        </w:rPr>
        <w:t>Les activités communautaires (unités de transformation, sessions de formations, fonctionnement des comités de gestion, participation aux échanges et rencontres pendant et après le projet, etc.) contribueront à consolider la cohésion sociale et le frottement entre producteurs des différents villages. Ce qui renforce la promotion des expériences endogènes ;</w:t>
      </w:r>
    </w:p>
    <w:p>
      <w:pPr>
        <w:pStyle w:val="style0"/>
        <w:tabs>
          <w:tab w:val="left" w:leader="none" w:pos="9214"/>
          <w:tab w:val="left" w:leader="none" w:pos="9639"/>
        </w:tabs>
        <w:jc w:val="both"/>
        <w:rPr>
          <w:rFonts w:ascii="Century Gothic" w:hAnsi="Century Gothic"/>
        </w:rPr>
      </w:pPr>
    </w:p>
    <w:bookmarkStart w:id="59" w:name="_Toc506538025"/>
    <w:bookmarkStart w:id="60" w:name="_Toc82046093"/>
    <w:p>
      <w:pPr>
        <w:pStyle w:val="style3"/>
        <w:numPr>
          <w:ilvl w:val="0"/>
          <w:numId w:val="0"/>
        </w:numPr>
        <w:tabs>
          <w:tab w:val="left" w:leader="none" w:pos="9214"/>
          <w:tab w:val="left" w:leader="none" w:pos="9639"/>
        </w:tabs>
        <w:rPr>
          <w:rFonts w:ascii="Century Gothic" w:hAnsi="Century Gothic"/>
          <w:szCs w:val="24"/>
        </w:rPr>
      </w:pPr>
      <w:r>
        <w:rPr>
          <w:rFonts w:ascii="Century Gothic" w:hAnsi="Century Gothic"/>
          <w:szCs w:val="24"/>
        </w:rPr>
        <w:t>5.3.3. Au niveau institutionnel</w:t>
      </w:r>
      <w:bookmarkEnd w:id="59"/>
      <w:bookmarkEnd w:id="60"/>
    </w:p>
    <w:p>
      <w:pPr>
        <w:pStyle w:val="style0"/>
        <w:tabs>
          <w:tab w:val="left" w:leader="none" w:pos="9214"/>
          <w:tab w:val="left" w:leader="none" w:pos="9639"/>
        </w:tabs>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Le processus d’élaboration du PDIC</w:t>
      </w:r>
      <w:r>
        <w:rPr>
          <w:rFonts w:ascii="Century Gothic" w:hAnsi="Century Gothic"/>
        </w:rPr>
        <w:t>/REDD+</w:t>
      </w:r>
      <w:r>
        <w:rPr>
          <w:rFonts w:ascii="Century Gothic" w:hAnsi="Century Gothic"/>
        </w:rPr>
        <w:t xml:space="preserve"> de par son approche axée sur la participation et concertation multi échelle et multi acteurs combinée avec sa particularité d’être un projet axé sur la réduction des émissions et la dégradation des espaces de conservation constitue une expérience additionnelle pour les collectivités locales. Cette expérience acquise constitue une opportunité de prise en compte des questions environnementales émergeantes (crédit carbone, REDD+, etc.) dans la planification locale ;</w:t>
      </w:r>
    </w:p>
    <w:p>
      <w:pPr>
        <w:pStyle w:val="style179"/>
        <w:tabs>
          <w:tab w:val="left" w:leader="none" w:pos="9214"/>
          <w:tab w:val="left" w:leader="none" w:pos="9639"/>
        </w:tabs>
        <w:ind w:left="0"/>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 xml:space="preserve">La mise en œuvre du </w:t>
      </w:r>
      <w:r>
        <w:rPr>
          <w:rFonts w:ascii="Century Gothic" w:hAnsi="Century Gothic"/>
        </w:rPr>
        <w:t>PDIC</w:t>
      </w:r>
      <w:r>
        <w:rPr>
          <w:rFonts w:ascii="Century Gothic" w:hAnsi="Century Gothic"/>
        </w:rPr>
        <w:t>/REDD</w:t>
      </w:r>
      <w:r>
        <w:rPr>
          <w:rFonts w:ascii="Century Gothic" w:hAnsi="Century Gothic"/>
        </w:rPr>
        <w:t xml:space="preserve"> </w:t>
      </w:r>
      <w:r>
        <w:rPr>
          <w:rFonts w:ascii="Century Gothic" w:hAnsi="Century Gothic"/>
        </w:rPr>
        <w:t>viendra atténuer l’insuffisance des PCD dans le domaine de la conservation de la promotion des initiatives de réduction de déforestation et de la dégradation dans l’espace communal;</w:t>
      </w:r>
    </w:p>
    <w:p>
      <w:pPr>
        <w:pStyle w:val="style179"/>
        <w:tabs>
          <w:tab w:val="left" w:leader="none" w:pos="9214"/>
          <w:tab w:val="left" w:leader="none" w:pos="9639"/>
        </w:tabs>
        <w:ind w:left="0"/>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 xml:space="preserve">Le </w:t>
      </w:r>
      <w:r>
        <w:rPr>
          <w:rFonts w:ascii="Century Gothic" w:hAnsi="Century Gothic"/>
        </w:rPr>
        <w:t>PDIC</w:t>
      </w:r>
      <w:r>
        <w:rPr>
          <w:rFonts w:ascii="Century Gothic" w:hAnsi="Century Gothic"/>
        </w:rPr>
        <w:t>/REDD</w:t>
      </w:r>
      <w:r>
        <w:rPr>
          <w:rFonts w:ascii="Century Gothic" w:hAnsi="Century Gothic"/>
        </w:rPr>
        <w:t xml:space="preserve"> </w:t>
      </w:r>
      <w:r>
        <w:rPr>
          <w:rFonts w:ascii="Century Gothic" w:hAnsi="Century Gothic"/>
        </w:rPr>
        <w:t>aura un co-bénéfice important aux niveaux politiques et stratégiques à</w:t>
      </w:r>
      <w:r>
        <w:rPr>
          <w:rFonts w:ascii="Century Gothic" w:hAnsi="Century Gothic"/>
        </w:rPr>
        <w:t xml:space="preserve"> savoir une opportunité pour la</w:t>
      </w:r>
      <w:r>
        <w:rPr>
          <w:rFonts w:ascii="Century Gothic" w:hAnsi="Century Gothic"/>
        </w:rPr>
        <w:t xml:space="preserve"> Commune de matérialiser certaines dispositions du Code Générales des collectivités notamment la création et de la gestion des espaces de conservation (Articles 89 et 90).</w:t>
      </w:r>
    </w:p>
    <w:p>
      <w:pPr>
        <w:pStyle w:val="style0"/>
        <w:tabs>
          <w:tab w:val="left" w:leader="none" w:pos="9214"/>
          <w:tab w:val="left" w:leader="none" w:pos="9639"/>
        </w:tabs>
        <w:jc w:val="both"/>
        <w:rPr>
          <w:rFonts w:ascii="Century Gothic" w:hAnsi="Century Gothic"/>
        </w:rPr>
      </w:pPr>
    </w:p>
    <w:bookmarkStart w:id="61" w:name="_Toc506538026"/>
    <w:bookmarkStart w:id="62" w:name="_Toc82046094"/>
    <w:p>
      <w:pPr>
        <w:pStyle w:val="style1"/>
        <w:numPr>
          <w:ilvl w:val="0"/>
          <w:numId w:val="0"/>
        </w:numPr>
        <w:tabs>
          <w:tab w:val="left" w:leader="none" w:pos="9214"/>
          <w:tab w:val="left" w:leader="none" w:pos="9639"/>
        </w:tabs>
        <w:spacing w:before="0" w:after="0"/>
        <w:rPr>
          <w:rFonts w:ascii="Century Gothic" w:hAnsi="Century Gothic"/>
          <w:sz w:val="24"/>
          <w:szCs w:val="24"/>
        </w:rPr>
      </w:pPr>
      <w:r>
        <w:rPr>
          <w:rFonts w:ascii="Century Gothic" w:hAnsi="Century Gothic"/>
          <w:sz w:val="24"/>
          <w:szCs w:val="24"/>
        </w:rPr>
        <w:t>VI</w:t>
      </w:r>
      <w:r>
        <w:rPr>
          <w:rFonts w:ascii="Century Gothic" w:hAnsi="Century Gothic"/>
          <w:sz w:val="24"/>
          <w:szCs w:val="24"/>
        </w:rPr>
        <w:t>. Principaux risques dans la mise en œuvre des PDIC/REDD+</w:t>
      </w:r>
      <w:bookmarkEnd w:id="61"/>
      <w:bookmarkEnd w:id="62"/>
    </w:p>
    <w:p>
      <w:pPr>
        <w:pStyle w:val="style0"/>
        <w:tabs>
          <w:tab w:val="left" w:leader="none" w:pos="9214"/>
          <w:tab w:val="left" w:leader="none" w:pos="9639"/>
        </w:tabs>
        <w:jc w:val="both"/>
        <w:rPr>
          <w:rFonts w:ascii="Century Gothic" w:hAnsi="Century Gothic"/>
          <w:b/>
        </w:rPr>
      </w:pPr>
    </w:p>
    <w:bookmarkStart w:id="63" w:name="_Toc506538027"/>
    <w:bookmarkStart w:id="64" w:name="_Toc82046095"/>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6.1. Au niveau environnemental</w:t>
      </w:r>
      <w:bookmarkEnd w:id="63"/>
      <w:bookmarkEnd w:id="64"/>
    </w:p>
    <w:p>
      <w:pPr>
        <w:pStyle w:val="style0"/>
        <w:tabs>
          <w:tab w:val="left" w:leader="none" w:pos="9214"/>
          <w:tab w:val="left" w:leader="none" w:pos="9639"/>
        </w:tabs>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La mauvaise pluviométrie entrainant de longue et rude sècheresse pourront influencer négativement l’atteinte de l’objectif de renforcement des capacités de séquestration par les opérations d’enrichissements des forêts et d’amélioration des productivités. L’accent devra être mis sur les espèces résistantes aux sécheresses et à croissance rapide ;</w:t>
      </w:r>
    </w:p>
    <w:p>
      <w:pPr>
        <w:pStyle w:val="style0"/>
        <w:tabs>
          <w:tab w:val="left" w:leader="none" w:pos="9214"/>
          <w:tab w:val="left" w:leader="none" w:pos="9639"/>
        </w:tabs>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 xml:space="preserve">Les risques de disparition totale des quelques reliques forestières existantes de la commune </w:t>
      </w:r>
      <w:r>
        <w:rPr>
          <w:rFonts w:ascii="Century Gothic" w:hAnsi="Century Gothic"/>
        </w:rPr>
        <w:t xml:space="preserve">sont réels </w:t>
      </w:r>
      <w:r>
        <w:rPr>
          <w:rFonts w:ascii="Century Gothic" w:hAnsi="Century Gothic"/>
        </w:rPr>
        <w:t xml:space="preserve">si rien n’est entrepris urgemment en faveur des </w:t>
      </w:r>
      <w:r>
        <w:rPr>
          <w:rFonts w:ascii="Century Gothic" w:hAnsi="Century Gothic"/>
        </w:rPr>
        <w:t>deux</w:t>
      </w:r>
      <w:r>
        <w:rPr>
          <w:rFonts w:ascii="Century Gothic" w:hAnsi="Century Gothic"/>
        </w:rPr>
        <w:t xml:space="preserve"> forêts existant</w:t>
      </w:r>
      <w:r>
        <w:rPr>
          <w:rFonts w:ascii="Century Gothic" w:hAnsi="Century Gothic"/>
        </w:rPr>
        <w:t>e</w:t>
      </w:r>
      <w:r>
        <w:rPr>
          <w:rFonts w:ascii="Century Gothic" w:hAnsi="Century Gothic"/>
        </w:rPr>
        <w:t>s. La mise en œuvre du PDIC</w:t>
      </w:r>
      <w:r>
        <w:rPr>
          <w:rFonts w:ascii="Century Gothic" w:hAnsi="Century Gothic"/>
        </w:rPr>
        <w:t>/REDD+</w:t>
      </w:r>
      <w:r>
        <w:rPr>
          <w:rFonts w:ascii="Century Gothic" w:hAnsi="Century Gothic"/>
        </w:rPr>
        <w:t xml:space="preserve"> devra permettre d’atténuer ce risque ;</w:t>
      </w:r>
    </w:p>
    <w:p>
      <w:pPr>
        <w:pStyle w:val="style179"/>
        <w:tabs>
          <w:tab w:val="left" w:leader="none" w:pos="9214"/>
          <w:tab w:val="left" w:leader="none" w:pos="9639"/>
        </w:tabs>
        <w:ind w:left="0"/>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La mise en œuvre du PDIC</w:t>
      </w:r>
      <w:r>
        <w:rPr>
          <w:rFonts w:ascii="Century Gothic" w:hAnsi="Century Gothic"/>
        </w:rPr>
        <w:t>/REDD+</w:t>
      </w:r>
      <w:r>
        <w:rPr>
          <w:rFonts w:ascii="Century Gothic" w:hAnsi="Century Gothic"/>
        </w:rPr>
        <w:t xml:space="preserve"> en lui-même va engendre</w:t>
      </w:r>
      <w:r>
        <w:rPr>
          <w:rFonts w:ascii="Century Gothic" w:hAnsi="Century Gothic"/>
        </w:rPr>
        <w:t>r</w:t>
      </w:r>
      <w:r>
        <w:rPr>
          <w:rFonts w:ascii="Century Gothic" w:hAnsi="Century Gothic"/>
        </w:rPr>
        <w:t xml:space="preserve"> des émissions de carbone. En effet, les missions de supervisions et de suivi des partenaires et de l’équipe d</w:t>
      </w:r>
      <w:r>
        <w:rPr>
          <w:rFonts w:ascii="Century Gothic" w:hAnsi="Century Gothic"/>
        </w:rPr>
        <w:t>e la mairie et de Ga  Mo Wigna</w:t>
      </w:r>
      <w:r>
        <w:rPr>
          <w:rFonts w:ascii="Century Gothic" w:hAnsi="Century Gothic"/>
        </w:rPr>
        <w:t>, les papiers et autres carburant pour les déplacements des bénéficiaires et des acteurs impliqués dans la gestion du projet sont des sources non négligeables d’émission qui devront faire l’objet d’attention.</w:t>
      </w:r>
      <w:r>
        <w:rPr>
          <w:rFonts w:ascii="Century Gothic" w:hAnsi="Century Gothic"/>
        </w:rPr>
        <w:t xml:space="preserve"> La désignation d’un point focal « sauvegarde environnementale et sociale » au niveau de la coordination de Ga Mo Wigna devra contribuer à</w:t>
      </w:r>
      <w:r>
        <w:rPr>
          <w:rFonts w:ascii="Century Gothic" w:hAnsi="Century Gothic"/>
        </w:rPr>
        <w:t xml:space="preserve"> maintenir le niveau de séquestration envisagé dans le projet à un niveau élevé. </w:t>
      </w:r>
    </w:p>
    <w:p>
      <w:pPr>
        <w:pStyle w:val="style0"/>
        <w:tabs>
          <w:tab w:val="left" w:leader="none" w:pos="9214"/>
          <w:tab w:val="left" w:leader="none" w:pos="9639"/>
        </w:tabs>
        <w:jc w:val="both"/>
        <w:rPr>
          <w:rFonts w:ascii="Century Gothic" w:hAnsi="Century Gothic"/>
        </w:rPr>
      </w:pPr>
    </w:p>
    <w:bookmarkStart w:id="65" w:name="_Toc506538028"/>
    <w:bookmarkStart w:id="66" w:name="_Toc82046096"/>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6.2. Au niveau socioéconomique</w:t>
      </w:r>
      <w:bookmarkEnd w:id="65"/>
      <w:bookmarkEnd w:id="66"/>
    </w:p>
    <w:p>
      <w:pPr>
        <w:pStyle w:val="style0"/>
        <w:tabs>
          <w:tab w:val="left" w:leader="none" w:pos="9214"/>
          <w:tab w:val="left" w:leader="none" w:pos="9639"/>
        </w:tabs>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Les risques de découragement des populations en cas de bénéfices trop faible</w:t>
      </w:r>
      <w:r>
        <w:rPr>
          <w:rFonts w:ascii="Century Gothic" w:hAnsi="Century Gothic"/>
        </w:rPr>
        <w:t>s</w:t>
      </w:r>
      <w:r>
        <w:rPr>
          <w:rFonts w:ascii="Century Gothic" w:hAnsi="Century Gothic"/>
        </w:rPr>
        <w:t xml:space="preserve"> ou tardifs par rapport aux attentes. Ce qui pourrait accentuer les mauvaises pratiques préjudiciables aux efforts de conservations entreprise</w:t>
      </w:r>
      <w:r>
        <w:rPr>
          <w:rFonts w:ascii="Century Gothic" w:hAnsi="Century Gothic"/>
        </w:rPr>
        <w:t>s</w:t>
      </w:r>
      <w:r>
        <w:rPr>
          <w:rFonts w:ascii="Century Gothic" w:hAnsi="Century Gothic"/>
        </w:rPr>
        <w:t> ;</w:t>
      </w:r>
    </w:p>
    <w:p>
      <w:pPr>
        <w:pStyle w:val="style179"/>
        <w:tabs>
          <w:tab w:val="left" w:leader="none" w:pos="9214"/>
          <w:tab w:val="left" w:leader="none" w:pos="9639"/>
        </w:tabs>
        <w:ind w:left="0"/>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La non existence de documents formels de création de ces forêts constitue un grand risque en terme de remise en cause des droits foncier</w:t>
      </w:r>
      <w:r>
        <w:rPr>
          <w:rFonts w:ascii="Century Gothic" w:hAnsi="Century Gothic"/>
        </w:rPr>
        <w:t>s</w:t>
      </w:r>
      <w:r>
        <w:rPr>
          <w:rFonts w:ascii="Century Gothic" w:hAnsi="Century Gothic"/>
        </w:rPr>
        <w:t xml:space="preserve"> p</w:t>
      </w:r>
      <w:r>
        <w:rPr>
          <w:rFonts w:ascii="Century Gothic" w:hAnsi="Century Gothic"/>
        </w:rPr>
        <w:t>ar les propriétaires terriens. Pareillement à la mise en œuvre du PDIC/REDD+, un</w:t>
      </w:r>
      <w:r>
        <w:rPr>
          <w:rFonts w:ascii="Century Gothic" w:hAnsi="Century Gothic"/>
        </w:rPr>
        <w:t xml:space="preserve"> processus de classement et d’immatriculation </w:t>
      </w:r>
      <w:r>
        <w:rPr>
          <w:rFonts w:ascii="Century Gothic" w:hAnsi="Century Gothic"/>
        </w:rPr>
        <w:t>de ces deux espaces de conservation devra être entreprise afin d’</w:t>
      </w:r>
      <w:r>
        <w:rPr>
          <w:rFonts w:ascii="Century Gothic" w:hAnsi="Century Gothic"/>
        </w:rPr>
        <w:t>atténuer ce risque</w:t>
      </w:r>
      <w:r>
        <w:rPr>
          <w:rFonts w:ascii="Century Gothic" w:hAnsi="Century Gothic"/>
        </w:rPr>
        <w:t> ;</w:t>
      </w:r>
      <w:r>
        <w:rPr>
          <w:rFonts w:ascii="Century Gothic" w:hAnsi="Century Gothic"/>
        </w:rPr>
        <w:t xml:space="preserve"> </w:t>
      </w:r>
    </w:p>
    <w:p>
      <w:pPr>
        <w:pStyle w:val="style179"/>
        <w:tabs>
          <w:tab w:val="left" w:leader="none" w:pos="9214"/>
          <w:tab w:val="left" w:leader="none" w:pos="9639"/>
        </w:tabs>
        <w:ind w:left="0"/>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L’accaparement des postes de responsabilités dans les différents instances (comité de gestion des forêts, des unités de transformation PLFN</w:t>
      </w:r>
      <w:r>
        <w:rPr>
          <w:rFonts w:ascii="Century Gothic" w:hAnsi="Century Gothic"/>
        </w:rPr>
        <w:t>, etc.)</w:t>
      </w:r>
      <w:r>
        <w:rPr>
          <w:rFonts w:ascii="Century Gothic" w:hAnsi="Century Gothic"/>
        </w:rPr>
        <w:t xml:space="preserve"> </w:t>
      </w:r>
      <w:r>
        <w:rPr>
          <w:rFonts w:ascii="Century Gothic" w:hAnsi="Century Gothic"/>
        </w:rPr>
        <w:t xml:space="preserve">pourra </w:t>
      </w:r>
      <w:r>
        <w:rPr>
          <w:rFonts w:ascii="Century Gothic" w:hAnsi="Century Gothic"/>
        </w:rPr>
        <w:t>entrainer le désengagement des certains bénéficiaires ou des conflits préjudiciables à leur fonctionnement ;</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p>
    <w:bookmarkStart w:id="67" w:name="_Toc506538029"/>
    <w:bookmarkStart w:id="68" w:name="_Toc82046097"/>
    <w:p>
      <w:pPr>
        <w:pStyle w:val="style2"/>
        <w:numPr>
          <w:ilvl w:val="0"/>
          <w:numId w:val="0"/>
        </w:numPr>
        <w:tabs>
          <w:tab w:val="left" w:leader="none" w:pos="9214"/>
          <w:tab w:val="left" w:leader="none" w:pos="9639"/>
        </w:tabs>
        <w:rPr>
          <w:rFonts w:ascii="Century Gothic" w:hAnsi="Century Gothic"/>
          <w:szCs w:val="24"/>
        </w:rPr>
      </w:pPr>
      <w:r>
        <w:rPr>
          <w:rFonts w:ascii="Century Gothic" w:hAnsi="Century Gothic"/>
          <w:szCs w:val="24"/>
        </w:rPr>
        <w:t>6.3. Au niveau institutionnel</w:t>
      </w:r>
      <w:bookmarkEnd w:id="67"/>
      <w:bookmarkEnd w:id="68"/>
    </w:p>
    <w:p>
      <w:pPr>
        <w:pStyle w:val="style0"/>
        <w:tabs>
          <w:tab w:val="left" w:leader="none" w:pos="9214"/>
          <w:tab w:val="left" w:leader="none" w:pos="9639"/>
        </w:tabs>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 xml:space="preserve">Les lenteurs administratives et la lourdeur des procédures de passation des marchés </w:t>
      </w:r>
      <w:r>
        <w:rPr>
          <w:rFonts w:ascii="Century Gothic" w:hAnsi="Century Gothic"/>
        </w:rPr>
        <w:t xml:space="preserve">contribueront </w:t>
      </w:r>
      <w:r>
        <w:rPr>
          <w:rFonts w:ascii="Century Gothic" w:hAnsi="Century Gothic"/>
        </w:rPr>
        <w:t>d’une part à un faible niveau d’exécution technique et financier, mais entraîneront la non réalisation dans les délais, le report ou simplement l’annulation de certaines réalisations</w:t>
      </w:r>
      <w:r>
        <w:rPr>
          <w:rFonts w:ascii="Century Gothic" w:hAnsi="Century Gothic"/>
        </w:rPr>
        <w:t>.</w:t>
      </w:r>
    </w:p>
    <w:p>
      <w:pPr>
        <w:pStyle w:val="style0"/>
        <w:tabs>
          <w:tab w:val="left" w:leader="none" w:pos="9214"/>
          <w:tab w:val="left" w:leader="none" w:pos="9639"/>
        </w:tabs>
        <w:jc w:val="both"/>
        <w:rPr>
          <w:rFonts w:ascii="Century Gothic" w:hAnsi="Century Gothic"/>
        </w:rPr>
      </w:pPr>
    </w:p>
    <w:p>
      <w:pPr>
        <w:pStyle w:val="style179"/>
        <w:tabs>
          <w:tab w:val="left" w:leader="none" w:pos="9214"/>
          <w:tab w:val="left" w:leader="none" w:pos="9639"/>
        </w:tabs>
        <w:ind w:left="0"/>
        <w:jc w:val="both"/>
        <w:rPr>
          <w:rFonts w:ascii="Century Gothic" w:hAnsi="Century Gothic"/>
        </w:rPr>
      </w:pPr>
      <w:r>
        <w:rPr>
          <w:rFonts w:ascii="Century Gothic" w:hAnsi="Century Gothic"/>
        </w:rPr>
        <w:t>L’instabilité politique influencera négativement la mise en œuvre efficace du PDIC</w:t>
      </w:r>
      <w:r>
        <w:rPr>
          <w:rFonts w:ascii="Century Gothic" w:hAnsi="Century Gothic"/>
        </w:rPr>
        <w:t>/REDD+ de la commune</w:t>
      </w:r>
      <w:r>
        <w:rPr>
          <w:rFonts w:ascii="Century Gothic" w:hAnsi="Century Gothic"/>
        </w:rPr>
        <w:t xml:space="preserve"> au regard de la forte implication du conseil municipal dans les prises de certaines décisions nécessaires à la poursuite des certaines activités comme l’adoption des PDIC, l’adoption des </w:t>
      </w:r>
      <w:r>
        <w:rPr>
          <w:rFonts w:ascii="Century Gothic" w:hAnsi="Century Gothic"/>
        </w:rPr>
        <w:t>chartes foncières</w:t>
      </w:r>
      <w:r>
        <w:rPr>
          <w:rFonts w:ascii="Century Gothic" w:hAnsi="Century Gothic"/>
        </w:rPr>
        <w:t xml:space="preserve"> etc.</w:t>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
          <w:u w:val="single"/>
        </w:rPr>
      </w:pPr>
    </w:p>
    <w:p>
      <w:pPr>
        <w:pStyle w:val="style0"/>
        <w:tabs>
          <w:tab w:val="left" w:leader="none" w:pos="9214"/>
          <w:tab w:val="left" w:leader="none" w:pos="9639"/>
        </w:tabs>
        <w:jc w:val="both"/>
        <w:rPr>
          <w:rFonts w:ascii="Century Gothic" w:hAnsi="Century Gothic"/>
          <w:b/>
        </w:rPr>
        <w:sectPr>
          <w:pgSz w:w="11920" w:h="16840" w:orient="portrait"/>
          <w:pgMar w:top="1134" w:right="1134" w:bottom="1134" w:left="1134" w:header="709" w:footer="709" w:gutter="0"/>
          <w:cols w:space="708"/>
          <w:docGrid w:linePitch="360"/>
        </w:sectPr>
      </w:pP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rPr>
      </w:pPr>
    </w:p>
    <w:p>
      <w:pPr>
        <w:pStyle w:val="style0"/>
        <w:tabs>
          <w:tab w:val="left" w:leader="none" w:pos="9214"/>
          <w:tab w:val="left" w:leader="none" w:pos="9639"/>
        </w:tabs>
        <w:jc w:val="both"/>
        <w:rPr>
          <w:rFonts w:ascii="Century Gothic" w:hAnsi="Century Gothic"/>
          <w:b/>
        </w:rPr>
      </w:pPr>
    </w:p>
    <w:p>
      <w:pPr>
        <w:pStyle w:val="style1"/>
        <w:numPr>
          <w:ilvl w:val="0"/>
          <w:numId w:val="0"/>
        </w:numPr>
        <w:tabs>
          <w:tab w:val="left" w:leader="none" w:pos="9214"/>
          <w:tab w:val="left" w:leader="none" w:pos="9639"/>
        </w:tabs>
        <w:spacing w:before="0" w:after="0"/>
        <w:ind w:hanging="432"/>
        <w:jc w:val="center"/>
        <w:rPr>
          <w:rFonts w:ascii="Century Gothic" w:hAnsi="Century Gothic"/>
          <w:sz w:val="24"/>
          <w:szCs w:val="24"/>
        </w:rPr>
      </w:pPr>
    </w:p>
    <w:p>
      <w:pPr>
        <w:pStyle w:val="style1"/>
        <w:numPr>
          <w:ilvl w:val="0"/>
          <w:numId w:val="0"/>
        </w:numPr>
        <w:tabs>
          <w:tab w:val="left" w:leader="none" w:pos="9214"/>
          <w:tab w:val="left" w:leader="none" w:pos="9639"/>
        </w:tabs>
        <w:spacing w:before="0" w:after="0"/>
        <w:ind w:hanging="432"/>
        <w:jc w:val="center"/>
        <w:rPr>
          <w:rFonts w:ascii="Century Gothic" w:hAnsi="Century Gothic"/>
          <w:sz w:val="24"/>
          <w:szCs w:val="24"/>
        </w:rPr>
      </w:pPr>
    </w:p>
    <w:p>
      <w:pPr>
        <w:pStyle w:val="style1"/>
        <w:numPr>
          <w:ilvl w:val="0"/>
          <w:numId w:val="0"/>
        </w:numPr>
        <w:tabs>
          <w:tab w:val="left" w:leader="none" w:pos="9214"/>
          <w:tab w:val="left" w:leader="none" w:pos="9639"/>
        </w:tabs>
        <w:spacing w:before="0" w:after="0"/>
        <w:ind w:hanging="432"/>
        <w:jc w:val="center"/>
        <w:rPr>
          <w:rFonts w:ascii="Century Gothic" w:hAnsi="Century Gothic"/>
          <w:sz w:val="24"/>
          <w:szCs w:val="24"/>
        </w:rPr>
      </w:pPr>
    </w:p>
    <w:p>
      <w:pPr>
        <w:pStyle w:val="style1"/>
        <w:numPr>
          <w:ilvl w:val="0"/>
          <w:numId w:val="0"/>
        </w:numPr>
        <w:tabs>
          <w:tab w:val="left" w:leader="none" w:pos="9214"/>
          <w:tab w:val="left" w:leader="none" w:pos="9639"/>
        </w:tabs>
        <w:spacing w:before="0" w:after="0"/>
        <w:ind w:hanging="432"/>
        <w:jc w:val="center"/>
        <w:rPr>
          <w:rFonts w:ascii="Century Gothic" w:hAnsi="Century Gothic"/>
          <w:sz w:val="24"/>
          <w:szCs w:val="24"/>
        </w:rPr>
      </w:pPr>
    </w:p>
    <w:p>
      <w:pPr>
        <w:pStyle w:val="style1"/>
        <w:numPr>
          <w:ilvl w:val="0"/>
          <w:numId w:val="0"/>
        </w:numPr>
        <w:tabs>
          <w:tab w:val="left" w:leader="none" w:pos="9214"/>
          <w:tab w:val="left" w:leader="none" w:pos="9639"/>
        </w:tabs>
        <w:spacing w:before="0" w:after="0"/>
        <w:ind w:hanging="432"/>
        <w:jc w:val="center"/>
        <w:rPr>
          <w:rFonts w:ascii="Century Gothic" w:hAnsi="Century Gothic"/>
          <w:sz w:val="24"/>
          <w:szCs w:val="24"/>
        </w:rPr>
      </w:pPr>
    </w:p>
    <w:p>
      <w:pPr>
        <w:pStyle w:val="style1"/>
        <w:numPr>
          <w:ilvl w:val="0"/>
          <w:numId w:val="0"/>
        </w:numPr>
        <w:tabs>
          <w:tab w:val="left" w:leader="none" w:pos="9214"/>
          <w:tab w:val="left" w:leader="none" w:pos="9639"/>
        </w:tabs>
        <w:spacing w:before="0" w:after="0"/>
        <w:ind w:hanging="432"/>
        <w:jc w:val="center"/>
        <w:rPr>
          <w:rFonts w:ascii="Century Gothic" w:hAnsi="Century Gothic"/>
          <w:sz w:val="24"/>
          <w:szCs w:val="24"/>
        </w:rPr>
      </w:pPr>
    </w:p>
    <w:p>
      <w:pPr>
        <w:pStyle w:val="style1"/>
        <w:numPr>
          <w:ilvl w:val="0"/>
          <w:numId w:val="0"/>
        </w:numPr>
        <w:tabs>
          <w:tab w:val="left" w:leader="none" w:pos="9214"/>
          <w:tab w:val="left" w:leader="none" w:pos="9639"/>
        </w:tabs>
        <w:spacing w:before="0" w:after="0"/>
        <w:ind w:hanging="432"/>
        <w:jc w:val="center"/>
        <w:rPr>
          <w:rFonts w:ascii="Century Gothic" w:hAnsi="Century Gothic"/>
          <w:sz w:val="24"/>
          <w:szCs w:val="24"/>
        </w:rPr>
      </w:pPr>
    </w:p>
    <w:p>
      <w:pPr>
        <w:pStyle w:val="style1"/>
        <w:numPr>
          <w:ilvl w:val="0"/>
          <w:numId w:val="0"/>
        </w:numPr>
        <w:tabs>
          <w:tab w:val="left" w:leader="none" w:pos="9214"/>
          <w:tab w:val="left" w:leader="none" w:pos="9639"/>
        </w:tabs>
        <w:spacing w:before="0" w:after="0"/>
        <w:ind w:hanging="432"/>
        <w:jc w:val="center"/>
        <w:rPr>
          <w:rFonts w:ascii="Century Gothic" w:hAnsi="Century Gothic"/>
          <w:sz w:val="24"/>
          <w:szCs w:val="24"/>
        </w:rPr>
      </w:pPr>
    </w:p>
    <w:bookmarkStart w:id="69" w:name="_Toc82046098"/>
    <w:p>
      <w:pPr>
        <w:pStyle w:val="style1"/>
        <w:numPr>
          <w:ilvl w:val="0"/>
          <w:numId w:val="0"/>
        </w:numPr>
        <w:tabs>
          <w:tab w:val="left" w:leader="none" w:pos="9214"/>
          <w:tab w:val="left" w:leader="none" w:pos="9639"/>
        </w:tabs>
        <w:spacing w:before="0" w:after="0"/>
        <w:ind w:hanging="432"/>
        <w:jc w:val="center"/>
        <w:rPr>
          <w:rFonts w:ascii="Century Gothic" w:hAnsi="Century Gothic"/>
          <w:sz w:val="24"/>
          <w:szCs w:val="24"/>
          <w:u w:val="none"/>
        </w:rPr>
      </w:pPr>
      <w:r>
        <w:rPr>
          <w:rFonts w:ascii="Century Gothic" w:hAnsi="Century Gothic"/>
          <w:sz w:val="24"/>
          <w:szCs w:val="24"/>
          <w:u w:val="none"/>
        </w:rPr>
        <w:t>ANNEXES</w:t>
      </w:r>
      <w:bookmarkEnd w:id="69"/>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rPr>
      </w:pPr>
    </w:p>
    <w:p>
      <w:pPr>
        <w:pStyle w:val="style0"/>
        <w:spacing w:after="160" w:lineRule="auto" w:line="259"/>
        <w:rPr>
          <w:rFonts w:ascii="Century Gothic" w:hAnsi="Century Gothic"/>
        </w:rPr>
      </w:pPr>
      <w:r>
        <w:rPr>
          <w:rFonts w:ascii="Century Gothic" w:hAnsi="Century Gothic"/>
        </w:rPr>
        <w:br w:type="page"/>
      </w:r>
    </w:p>
    <w:p>
      <w:pPr>
        <w:pStyle w:val="style0"/>
        <w:tabs>
          <w:tab w:val="left" w:leader="none" w:pos="9214"/>
          <w:tab w:val="left" w:leader="none" w:pos="9639"/>
        </w:tabs>
        <w:jc w:val="both"/>
        <w:rPr>
          <w:rFonts w:ascii="Century Gothic" w:hAnsi="Century Gothic"/>
        </w:rPr>
      </w:pPr>
    </w:p>
    <w:p>
      <w:pPr>
        <w:pStyle w:val="style0"/>
        <w:tabs>
          <w:tab w:val="left" w:leader="none" w:pos="9214"/>
          <w:tab w:val="left" w:leader="none" w:pos="9639"/>
        </w:tabs>
        <w:jc w:val="both"/>
        <w:rPr>
          <w:rFonts w:ascii="Century Gothic" w:hAnsi="Century Gothic"/>
          <w:b/>
        </w:rPr>
      </w:pPr>
    </w:p>
    <w:bookmarkStart w:id="70" w:name="_Toc82046099"/>
    <w:p>
      <w:pPr>
        <w:pStyle w:val="style2"/>
        <w:numPr>
          <w:ilvl w:val="0"/>
          <w:numId w:val="0"/>
        </w:numPr>
        <w:rPr>
          <w:rFonts w:ascii="Century Gothic" w:hAnsi="Century Gothic"/>
        </w:rPr>
      </w:pPr>
      <w:r>
        <w:rPr>
          <w:rFonts w:ascii="Century Gothic" w:hAnsi="Century Gothic"/>
        </w:rPr>
        <w:t xml:space="preserve">Annexe </w:t>
      </w:r>
      <w:r>
        <w:rPr>
          <w:rFonts w:ascii="Century Gothic" w:hAnsi="Century Gothic"/>
        </w:rPr>
        <w:t>1</w:t>
      </w:r>
      <w:r>
        <w:rPr>
          <w:rFonts w:ascii="Century Gothic" w:hAnsi="Century Gothic"/>
        </w:rPr>
        <w:t xml:space="preserve"> : </w:t>
      </w:r>
      <w:r>
        <w:rPr>
          <w:rFonts w:ascii="Century Gothic" w:hAnsi="Century Gothic"/>
        </w:rPr>
        <w:t>Chronogramme indicatif détaillé des activités</w:t>
      </w:r>
      <w:bookmarkEnd w:id="70"/>
    </w:p>
    <w:p>
      <w:pPr>
        <w:pStyle w:val="style0"/>
        <w:tabs>
          <w:tab w:val="left" w:leader="none" w:pos="9214"/>
          <w:tab w:val="left" w:leader="none" w:pos="9639"/>
        </w:tabs>
        <w:rPr>
          <w:rFonts w:ascii="Century Gothic" w:hAnsi="Century Gothic"/>
          <w:b/>
        </w:rPr>
      </w:pPr>
    </w:p>
    <w:tbl>
      <w:tblPr>
        <w:tblW w:w="10060" w:type="dxa"/>
        <w:tblCellMar>
          <w:left w:w="70" w:type="dxa"/>
          <w:right w:w="70" w:type="dxa"/>
        </w:tblCellMar>
        <w:tblLook w:val="04A0" w:firstRow="1" w:lastRow="0" w:firstColumn="1" w:lastColumn="0" w:noHBand="0" w:noVBand="1"/>
      </w:tblPr>
      <w:tblGrid>
        <w:gridCol w:w="4191"/>
        <w:gridCol w:w="543"/>
        <w:gridCol w:w="543"/>
        <w:gridCol w:w="543"/>
        <w:gridCol w:w="543"/>
        <w:gridCol w:w="543"/>
        <w:gridCol w:w="1381"/>
        <w:gridCol w:w="1773"/>
      </w:tblGrid>
      <w:tr>
        <w:trPr>
          <w:trHeight w:val="936" w:hRule="atLeast"/>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b/>
                <w:bCs/>
                <w:color w:val="000000"/>
                <w:sz w:val="20"/>
                <w:szCs w:val="20"/>
              </w:rPr>
            </w:pPr>
            <w:r>
              <w:rPr>
                <w:rFonts w:ascii="Century Gothic" w:cs="Calibri" w:hAnsi="Century Gothic"/>
                <w:b/>
                <w:bCs/>
                <w:color w:val="000000"/>
                <w:sz w:val="20"/>
                <w:szCs w:val="20"/>
              </w:rPr>
              <w:t>Résultats/ Activités</w:t>
            </w:r>
          </w:p>
        </w:tc>
        <w:tc>
          <w:tcPr>
            <w:tcW w:w="0" w:type="auto"/>
            <w:gridSpan w:val="5"/>
            <w:tcBorders>
              <w:top w:val="single" w:sz="4" w:space="0" w:color="auto"/>
              <w:left w:val="nil"/>
              <w:bottom w:val="single" w:sz="4" w:space="0" w:color="auto"/>
              <w:right w:val="single" w:sz="4" w:space="0" w:color="000000"/>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Période (de Janvier 2022 à Décembre 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Responsable</w:t>
            </w:r>
          </w:p>
        </w:tc>
        <w:tc>
          <w:tcPr>
            <w:tcW w:w="1773" w:type="dxa"/>
            <w:tcBorders>
              <w:top w:val="single" w:sz="4" w:space="0" w:color="auto"/>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Partenaire de mise en œuvre</w:t>
            </w:r>
          </w:p>
        </w:tc>
      </w:tr>
      <w:tr>
        <w:tblPrEx/>
        <w:trPr>
          <w:trHeight w:val="444" w:hRule="atLeast"/>
          <w:tblHeader/>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An1</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An2</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An3</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An4</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b/>
                <w:bCs/>
                <w:color w:val="000000"/>
                <w:sz w:val="20"/>
                <w:szCs w:val="20"/>
              </w:rPr>
            </w:pPr>
            <w:r>
              <w:rPr>
                <w:rFonts w:ascii="Century Gothic" w:cs="Calibri" w:hAnsi="Century Gothic"/>
                <w:b/>
                <w:bCs/>
                <w:color w:val="000000"/>
                <w:sz w:val="20"/>
                <w:szCs w:val="20"/>
              </w:rPr>
              <w:t>An5</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1773"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r>
      <w:tr>
        <w:tblPrEx/>
        <w:trPr>
          <w:trHeight w:val="636" w:hRule="atLeast"/>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pPr>
              <w:pStyle w:val="style0"/>
              <w:jc w:val="both"/>
              <w:rPr>
                <w:rFonts w:ascii="Century Gothic" w:cs="Calibri" w:hAnsi="Century Gothic"/>
                <w:b/>
                <w:bCs/>
                <w:i/>
                <w:iCs/>
                <w:color w:val="000000"/>
                <w:sz w:val="20"/>
                <w:szCs w:val="20"/>
              </w:rPr>
            </w:pPr>
            <w:r>
              <w:rPr>
                <w:rFonts w:ascii="Century Gothic" w:cs="Calibri" w:hAnsi="Century Gothic"/>
                <w:b/>
                <w:bCs/>
                <w:i/>
                <w:iCs/>
                <w:color w:val="000000"/>
                <w:sz w:val="20"/>
                <w:szCs w:val="20"/>
              </w:rPr>
              <w:t>Activités directement liées à la réduction des émissions des gaz à effet de serre dans la commune</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r>
      <w:tr>
        <w:tblPrEx/>
        <w:trPr>
          <w:trHeight w:val="587"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4.1.2.1.1.1. Appuyer la production des plants dans l’espace de conservation de Kaya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400"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4.1.2.1.1.2. Réaliser des plantations d’enrichissement/délimitation de la forêt de Kaya</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793"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4.1.2.1.1.3.  Réaliser des plantations individuelles dans les villages riverains dans l’espace de conservation de Kaya (villages de Kaya Fabolo, Kaya Kafor et Kaya Navio)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130"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4.1.2.1.1.4. Mettre en place un comité villageois de gestion de la forêt villageoise de Kaya.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665"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4.1.2.1.1.5. Former/ recycler 07 membres du comité de gestion / suivi de la charte sur leurs attributions dans l’espace de conservation de Kaya.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381"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4.1.2.1.1.6. Elaborer une charte foncière locale de la forêt de Kaya</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591"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4.1.2.1.1.7. Appuyer le renouvellement et la formation des instances des commissions foncières villageoises,</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307"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4.1.2.1.1.8. Réaliser le bornage de la forêt villageoise de Kaya</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418"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4.1.2.1.1.9. Confectionner et fixer cinq (5) panneaux d'information et de sensibilisation sur la forêt de Kaya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669"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4.2.2.1.1.1. Réaliser des plantations d’enrichissement/délimitation de la forêt de 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1332"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4.2.2.1.1.2.  Réaliser des plantations individuelles dans les villages riverains dans l’espace de conservation Tangassogo (villages Ouédiabié-Tangassogo et Ourobié-Tangassogo).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717"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4.2.2.1.1.3. Mettre en place un comité villageois de gestion dans l’espace de conservation Tangassogo.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291"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Sous-Activité 4.2.2.1.1.4. Former/ recycler 07 membres du comité de gestion / suivi </w:t>
            </w:r>
            <w:r>
              <w:rPr>
                <w:rFonts w:ascii="Century Gothic" w:cs="Calibri" w:hAnsi="Century Gothic"/>
                <w:color w:val="000000"/>
                <w:sz w:val="20"/>
                <w:szCs w:val="20"/>
              </w:rPr>
              <w:t xml:space="preserve">de la charte sur leurs attributions dans l’espace de conservation Tangassogo.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369"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4.2.2.1.1.5. Elaborer une charte locale de gestion foncière de la forêt de 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337"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4.2.2.1.1.6. Réaliser le bornage de la forêt communale de 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1080"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Sous-Activité 4.2.2.1.1.7. Confectionner et fixer cinq (5) de panneaux d'information et de sensibilisation sur la forêt de 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193" w:hRule="atLeast"/>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pPr>
              <w:pStyle w:val="style0"/>
              <w:jc w:val="both"/>
              <w:rPr>
                <w:rFonts w:ascii="Century Gothic" w:cs="Calibri" w:hAnsi="Century Gothic"/>
                <w:b/>
                <w:bCs/>
                <w:color w:val="000000"/>
                <w:sz w:val="20"/>
                <w:szCs w:val="20"/>
              </w:rPr>
            </w:pPr>
            <w:r>
              <w:rPr>
                <w:rFonts w:ascii="Century Gothic" w:cs="Calibri" w:hAnsi="Century Gothic"/>
                <w:b/>
                <w:bCs/>
                <w:color w:val="000000"/>
                <w:sz w:val="20"/>
                <w:szCs w:val="20"/>
              </w:rPr>
              <w:t>Activités induites d’amélioration des productivités et des revenus dans les espaces de conservation de Kaya et 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0"/>
                <w:szCs w:val="20"/>
              </w:rPr>
            </w:pPr>
            <w:r>
              <w:rPr>
                <w:rFonts w:ascii="Century Gothic" w:cs="Calibri" w:hAnsi="Century Gothic"/>
                <w:color w:val="000000"/>
                <w:sz w:val="20"/>
                <w:szCs w:val="20"/>
              </w:rPr>
              <w:t> </w:t>
            </w:r>
          </w:p>
        </w:tc>
        <w:tc>
          <w:tcPr>
            <w:tcW w:w="1773" w:type="dxa"/>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r>
      <w:tr>
        <w:tblPrEx/>
        <w:trPr>
          <w:trHeight w:val="1108"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4.1.2.2.1. Appuyer 150 producteurs à la production et à l’utilisation du compost dans l’espace de conservation de Kaya (villages de Kaya Fabolo, Kaya Kafor et Kaya Navio)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1668"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4.1.2.2.2. Appuyer 150 producteurs la fauche et conservation du fourrage naturel dans les villages riverains de l‘espace de conservation de Kaya (villages de Kaya Fabolo, Kaya Kafor et Kaya Navio)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610"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4.1.2.2.3. Appuyer l’apiculture moderne au profit de 20 jeunes et femmes dans l’espace de conservation de Kaya (village de Kaya Navio)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469"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4.1.2.2.4. Mettre en place une unité  de transformation des PFNL dans l’espace de conservation de Kaya au profit de la SCOOP KOUDJIGUI-TINA</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894"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4.2.2.2.1. Appuyer 100 producteurs à la production et à l’utilisation du compost dans l’espace de conservation de Tangassogo ((villages Ouédiabié-Tangassogo et Ourobié-Tangassogo)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973"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4.2.2.2.2. Appuyer 100 producteurs la fauche et conservation du fourrage naturel dans les villages riverains de l‘espace de conservation Tangassogo (villages Ouédiabié-Tangassogo et Ourobié-Tangassogo)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717"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4.2.2.2.3. Appuyer l’apiculture moderne au profit de 40 jeunes et femmes dans l’espace de conservation de Tangassogo (villages Ouédiabié-Tangassogo et Ourobié-Tangassogo)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1142"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Activité 4.1.2.2.4. Mettre en place une unité  de transformation des PFNL dans l’espace de conservation de Tangassogo au profit de l’union des SCOOP KOUDJIGUI-TINA.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479" w:hRule="atLeast"/>
        </w:trPr>
        <w:tc>
          <w:tcPr>
            <w:tcW w:w="0" w:type="auto"/>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pPr>
              <w:pStyle w:val="style0"/>
              <w:jc w:val="both"/>
              <w:rPr>
                <w:rFonts w:ascii="Century Gothic" w:cs="Calibri" w:hAnsi="Century Gothic"/>
                <w:b/>
                <w:bCs/>
                <w:color w:val="000000"/>
                <w:sz w:val="20"/>
                <w:szCs w:val="20"/>
              </w:rPr>
            </w:pPr>
            <w:r>
              <w:rPr>
                <w:rFonts w:ascii="Century Gothic" w:cs="Calibri" w:hAnsi="Century Gothic"/>
                <w:b/>
                <w:bCs/>
                <w:color w:val="000000"/>
                <w:sz w:val="20"/>
                <w:szCs w:val="20"/>
              </w:rPr>
              <w:t>Activités de renforcement des capacités d’adaptation aux activités et responsabilités dans les espaces de conservation de Kaya et Tangassogo</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r>
      <w:tr>
        <w:tblPrEx/>
        <w:trPr>
          <w:trHeight w:val="719"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4.1.2.3.1 : Former 50 élus locaux et leaders villageois de la commune de Tiébélé sur la gouvernance locale et en législations environnementales</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449"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4.1.2.3.2 : Organiser vingt (20) séances d'information et de sensibilisation sur la sécurisation foncière dans la commune de Tiébélé</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860"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4.1.2.3.3. Former 300 producteurs en technique de plantation et entretien des espèces végétales dans l’espace de conservation de Kaya (villages de Kaya Fabolo, Kaya Kafor et Kaya Navio)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1392"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Activité 4.1.2.3.4. Former 150 producteurs à la production et à l’utilisation du compost dans l’espace de conservation de Kaya (villages de Kaya Fabolo, Kaya Kafor et Kaya Navio)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785"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4.1.2.3.5. Former 150 producteurs en technique de fauche et de conservation de fourrage naturel dans l’espace de conservation de Kaya  (villages de Kaya Fabolo, Kaya Kafor et Kaya Navio)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153"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4.1.2.3.6. Former 20 producteurs en techniques apicoles modernes dans l’espace de conservation de Kaya.</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1256"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Activité 4.1.2.3.7. Former 50 membres de l’union des SCOOP KOUDJIGUI-TINA de Tiébélé en techniques de production, de transformation et de commercialisation des PFNL dans l’espace de conservation de Kaya.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1048"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4.2.2.3.1. Former 200 producteurs en technique de plantation et entretien des espèces végétales dans l’espace de conservation de Tangassogo (villages Ouédiabié-Tangassogo et Ourobié-Tangassogo)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858"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4.2.2.3.2. Former 100 producteurs à la production et à l’utilisation du compost dans l’espace de conservation de Tangassogo (villages Ouédiabié-Tangassogo et Ourobié-Tangassogo)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1046"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4.2.2.3.3. Former 100 producteurs en technique de fauche et de conservation de fourrage naturel dans l’espace de conservation de Tangassogo (villages Ouédiabié-Tangassogo et Ourobié-Tangassogo)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557"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Activité 4.2.2.3.4. Former 40 producteurs en techniques apicoles modernes dans l’espace de conservation de Tangassogo.</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tr>
        <w:tblPrEx/>
        <w:trPr>
          <w:trHeight w:val="1220" w:hRule="atLeast"/>
        </w:trPr>
        <w:tc>
          <w:tcPr>
            <w:tcW w:w="0" w:type="auto"/>
            <w:tcBorders>
              <w:top w:val="nil"/>
              <w:left w:val="single" w:sz="4" w:space="0" w:color="auto"/>
              <w:bottom w:val="single" w:sz="4" w:space="0" w:color="auto"/>
              <w:right w:val="single" w:sz="4" w:space="0" w:color="auto"/>
            </w:tcBorders>
            <w:shd w:val="clear" w:color="auto" w:fill="auto"/>
            <w:vAlign w:val="center"/>
            <w:hideMark/>
          </w:tcPr>
          <w:p>
            <w:pPr>
              <w:pStyle w:val="style0"/>
              <w:jc w:val="both"/>
              <w:rPr>
                <w:rFonts w:ascii="Century Gothic" w:cs="Calibri" w:hAnsi="Century Gothic"/>
                <w:color w:val="000000"/>
                <w:sz w:val="20"/>
                <w:szCs w:val="20"/>
              </w:rPr>
            </w:pPr>
            <w:r>
              <w:rPr>
                <w:rFonts w:ascii="Century Gothic" w:cs="Calibri" w:hAnsi="Century Gothic"/>
                <w:color w:val="000000"/>
                <w:sz w:val="20"/>
                <w:szCs w:val="20"/>
              </w:rPr>
              <w:t xml:space="preserve">Activité 4.1.2.3.5. Former 50 membres de l’union des SCOOP KOUDJIGUI-TINA de Tiébélé en techniques de production, de transformation et de commercialisation des PFNL dans l’espace de conservation de Tangassogo.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XX</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Maire</w:t>
            </w:r>
          </w:p>
        </w:tc>
        <w:tc>
          <w:tcPr>
            <w:tcW w:w="1773" w:type="dxa"/>
            <w:tcBorders>
              <w:top w:val="nil"/>
              <w:left w:val="nil"/>
              <w:bottom w:val="single" w:sz="4" w:space="0" w:color="auto"/>
              <w:right w:val="single" w:sz="4" w:space="0" w:color="auto"/>
            </w:tcBorders>
            <w:shd w:val="clear" w:color="auto" w:fill="auto"/>
            <w:vAlign w:val="center"/>
            <w:hideMark/>
          </w:tcPr>
          <w:p>
            <w:pPr>
              <w:pStyle w:val="style0"/>
              <w:jc w:val="center"/>
              <w:rPr>
                <w:rFonts w:ascii="Century Gothic" w:cs="Calibri" w:hAnsi="Century Gothic"/>
                <w:color w:val="000000"/>
                <w:sz w:val="20"/>
                <w:szCs w:val="20"/>
              </w:rPr>
            </w:pPr>
            <w:r>
              <w:rPr>
                <w:rFonts w:ascii="Century Gothic" w:cs="Calibri" w:hAnsi="Century Gothic"/>
                <w:color w:val="000000"/>
                <w:sz w:val="20"/>
                <w:szCs w:val="20"/>
              </w:rPr>
              <w:t>COGES, CVD, Service techniques</w:t>
            </w:r>
          </w:p>
        </w:tc>
      </w:tr>
      <w:bookmarkStart w:id="71" w:name="_Toc505077756"/>
      <w:bookmarkStart w:id="72" w:name="_Toc503963804"/>
    </w:tbl>
    <w:p>
      <w:pPr>
        <w:pStyle w:val="style0"/>
        <w:tabs>
          <w:tab w:val="left" w:leader="none" w:pos="9214"/>
          <w:tab w:val="left" w:leader="none" w:pos="9639"/>
        </w:tabs>
        <w:rPr>
          <w:rFonts w:ascii="Century Gothic" w:hAnsi="Century Gothic"/>
          <w:b/>
        </w:rPr>
      </w:pPr>
    </w:p>
    <w:bookmarkStart w:id="73" w:name="_Toc82223233"/>
    <w:p>
      <w:pPr>
        <w:pStyle w:val="style2"/>
        <w:numPr>
          <w:ilvl w:val="0"/>
          <w:numId w:val="0"/>
        </w:numPr>
        <w:rPr>
          <w:rFonts w:ascii="Century Gothic" w:hAnsi="Century Gothic"/>
        </w:rPr>
      </w:pPr>
      <w:r>
        <w:rPr>
          <w:rFonts w:ascii="Century Gothic" w:hAnsi="Century Gothic"/>
        </w:rPr>
        <w:t>Annexe</w:t>
      </w:r>
      <w:r>
        <w:rPr>
          <w:rFonts w:ascii="Century Gothic" w:hAnsi="Century Gothic"/>
        </w:rPr>
        <w:t xml:space="preserve"> </w:t>
      </w:r>
      <w:r>
        <w:rPr>
          <w:rFonts w:ascii="Century Gothic" w:hAnsi="Century Gothic"/>
        </w:rPr>
        <w:t>2</w:t>
      </w:r>
      <w:r>
        <w:rPr>
          <w:rFonts w:ascii="Century Gothic" w:hAnsi="Century Gothic"/>
        </w:rPr>
        <w:t xml:space="preserve"> : </w:t>
      </w:r>
      <w:r>
        <w:rPr>
          <w:rFonts w:ascii="Century Gothic" w:hAnsi="Century Gothic"/>
        </w:rPr>
        <w:t>Bilan carbone détaillé des activités du PDIC REDD+ de Tiébélé</w:t>
      </w:r>
      <w:bookmarkEnd w:id="73"/>
    </w:p>
    <w:tbl>
      <w:tblPr>
        <w:tblW w:w="7760" w:type="dxa"/>
        <w:jc w:val="center"/>
        <w:tblCellMar>
          <w:left w:w="70" w:type="dxa"/>
          <w:right w:w="70" w:type="dxa"/>
        </w:tblCellMar>
        <w:tblLook w:val="04A0" w:firstRow="1" w:lastRow="0" w:firstColumn="1" w:lastColumn="0" w:noHBand="0" w:noVBand="1"/>
      </w:tblPr>
      <w:tblGrid>
        <w:gridCol w:w="5520"/>
        <w:gridCol w:w="2240"/>
      </w:tblGrid>
      <w:tr>
        <w:trPr>
          <w:trHeight w:val="930" w:hRule="atLeast"/>
          <w:jc w:val="center"/>
        </w:trPr>
        <w:tc>
          <w:tcPr>
            <w:tcW w:w="55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pPr>
              <w:pStyle w:val="style0"/>
              <w:rPr>
                <w:rFonts w:ascii="Century Gothic" w:cs="Calibri" w:hAnsi="Century Gothic"/>
                <w:b/>
                <w:bCs/>
                <w:color w:val="000000"/>
                <w:sz w:val="22"/>
                <w:szCs w:val="22"/>
              </w:rPr>
            </w:pPr>
            <w:r>
              <w:rPr>
                <w:rFonts w:ascii="Century Gothic" w:cs="Calibri" w:hAnsi="Century Gothic"/>
                <w:b/>
                <w:bCs/>
                <w:color w:val="000000"/>
                <w:sz w:val="22"/>
                <w:szCs w:val="22"/>
              </w:rPr>
              <w:t>ACTIVITES</w:t>
            </w:r>
          </w:p>
        </w:tc>
        <w:tc>
          <w:tcPr>
            <w:tcW w:w="2240" w:type="dxa"/>
            <w:tcBorders>
              <w:top w:val="single" w:sz="8" w:space="0" w:color="auto"/>
              <w:left w:val="nil"/>
              <w:bottom w:val="single" w:sz="4" w:space="0" w:color="auto"/>
              <w:right w:val="single" w:sz="8" w:space="0" w:color="auto"/>
            </w:tcBorders>
            <w:shd w:val="clear" w:color="auto" w:fill="auto"/>
            <w:vAlign w:val="center"/>
            <w:hideMark/>
          </w:tcPr>
          <w:p>
            <w:pPr>
              <w:pStyle w:val="style0"/>
              <w:rPr>
                <w:rFonts w:ascii="Century Gothic" w:cs="Calibri" w:hAnsi="Century Gothic"/>
                <w:b/>
                <w:bCs/>
                <w:color w:val="000000"/>
                <w:sz w:val="22"/>
                <w:szCs w:val="22"/>
              </w:rPr>
            </w:pPr>
            <w:r>
              <w:rPr>
                <w:rFonts w:ascii="Century Gothic" w:cs="Calibri" w:hAnsi="Century Gothic"/>
                <w:b/>
                <w:bCs/>
                <w:color w:val="000000"/>
                <w:sz w:val="22"/>
                <w:szCs w:val="22"/>
              </w:rPr>
              <w:t>Estimation de tous les GES (CO2, N20, CH4) en tCO2eq</w:t>
            </w:r>
          </w:p>
        </w:tc>
      </w:tr>
      <w:tr>
        <w:tblPrEx/>
        <w:trPr>
          <w:trHeight w:val="162" w:hRule="atLeast"/>
          <w:jc w:val="center"/>
        </w:trPr>
        <w:tc>
          <w:tcPr>
            <w:tcW w:w="5520" w:type="dxa"/>
            <w:tcBorders>
              <w:top w:val="nil"/>
              <w:left w:val="single" w:sz="8" w:space="0" w:color="auto"/>
              <w:bottom w:val="single" w:sz="4" w:space="0" w:color="auto"/>
              <w:right w:val="single" w:sz="4" w:space="0" w:color="auto"/>
            </w:tcBorders>
            <w:shd w:val="clear" w:color="auto" w:fill="00ff00"/>
            <w:vAlign w:val="center"/>
          </w:tcPr>
          <w:p>
            <w:pPr>
              <w:pStyle w:val="style0"/>
              <w:rPr>
                <w:rFonts w:ascii="Century Gothic" w:cs="Calibri" w:hAnsi="Century Gothic"/>
                <w:b/>
                <w:color w:val="000000"/>
                <w:sz w:val="22"/>
                <w:szCs w:val="22"/>
              </w:rPr>
            </w:pPr>
            <w:r>
              <w:rPr>
                <w:rFonts w:ascii="Century Gothic" w:cs="Calibri" w:hAnsi="Century Gothic"/>
                <w:b/>
                <w:color w:val="000000"/>
                <w:sz w:val="22"/>
                <w:szCs w:val="22"/>
                <w:highlight w:val="green"/>
              </w:rPr>
              <w:t>SEQUESTRATION</w:t>
            </w:r>
          </w:p>
        </w:tc>
        <w:tc>
          <w:tcPr>
            <w:tcW w:w="2240" w:type="dxa"/>
            <w:tcBorders>
              <w:top w:val="nil"/>
              <w:left w:val="nil"/>
              <w:bottom w:val="single" w:sz="4" w:space="0" w:color="auto"/>
              <w:right w:val="single" w:sz="8" w:space="0" w:color="auto"/>
            </w:tcBorders>
            <w:shd w:val="clear" w:color="auto" w:fill="00ff00"/>
            <w:noWrap/>
            <w:vAlign w:val="bottom"/>
          </w:tcPr>
          <w:p>
            <w:pPr>
              <w:pStyle w:val="style0"/>
              <w:jc w:val="center"/>
              <w:rPr>
                <w:rFonts w:ascii="Century Gothic" w:cs="Calibri" w:hAnsi="Century Gothic"/>
                <w:b/>
                <w:color w:val="000000"/>
                <w:sz w:val="22"/>
                <w:szCs w:val="22"/>
              </w:rPr>
            </w:pPr>
          </w:p>
        </w:tc>
      </w:tr>
      <w:tr>
        <w:tblPrEx/>
        <w:trPr>
          <w:trHeight w:val="58" w:hRule="atLeast"/>
          <w:jc w:val="center"/>
        </w:trPr>
        <w:tc>
          <w:tcPr>
            <w:tcW w:w="5520" w:type="dxa"/>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2"/>
                <w:szCs w:val="22"/>
              </w:rPr>
            </w:pPr>
            <w:r>
              <w:rPr>
                <w:rFonts w:ascii="Century Gothic" w:cs="Calibri" w:hAnsi="Century Gothic"/>
                <w:color w:val="000000"/>
                <w:sz w:val="22"/>
                <w:szCs w:val="22"/>
              </w:rPr>
              <w:t xml:space="preserve">Utilisation de la fumure organique </w:t>
            </w:r>
          </w:p>
        </w:tc>
        <w:tc>
          <w:tcPr>
            <w:tcW w:w="2240" w:type="dxa"/>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b/>
                <w:color w:val="000000"/>
                <w:sz w:val="22"/>
                <w:szCs w:val="22"/>
              </w:rPr>
            </w:pPr>
            <w:r>
              <w:rPr>
                <w:rFonts w:ascii="Century Gothic" w:cs="Calibri" w:hAnsi="Century Gothic"/>
                <w:b/>
                <w:color w:val="000000"/>
                <w:sz w:val="22"/>
                <w:szCs w:val="22"/>
              </w:rPr>
              <w:t>-443,55</w:t>
            </w:r>
          </w:p>
        </w:tc>
      </w:tr>
      <w:tr>
        <w:tblPrEx/>
        <w:trPr>
          <w:trHeight w:val="170" w:hRule="atLeast"/>
          <w:jc w:val="center"/>
        </w:trPr>
        <w:tc>
          <w:tcPr>
            <w:tcW w:w="5520" w:type="dxa"/>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2"/>
                <w:szCs w:val="22"/>
              </w:rPr>
            </w:pPr>
            <w:r>
              <w:rPr>
                <w:rFonts w:ascii="Century Gothic" w:cs="Calibri" w:hAnsi="Century Gothic"/>
                <w:color w:val="000000"/>
                <w:sz w:val="22"/>
                <w:szCs w:val="22"/>
              </w:rPr>
              <w:t xml:space="preserve">Plantation individuelles </w:t>
            </w:r>
          </w:p>
        </w:tc>
        <w:tc>
          <w:tcPr>
            <w:tcW w:w="2240" w:type="dxa"/>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b/>
                <w:color w:val="000000"/>
                <w:sz w:val="22"/>
                <w:szCs w:val="22"/>
              </w:rPr>
            </w:pPr>
            <w:r>
              <w:rPr>
                <w:rFonts w:ascii="Century Gothic" w:cs="Calibri" w:hAnsi="Century Gothic"/>
                <w:b/>
                <w:color w:val="000000"/>
                <w:sz w:val="22"/>
                <w:szCs w:val="22"/>
              </w:rPr>
              <w:t>-308,88</w:t>
            </w:r>
          </w:p>
        </w:tc>
      </w:tr>
      <w:tr>
        <w:tblPrEx/>
        <w:trPr>
          <w:trHeight w:val="58" w:hRule="atLeast"/>
          <w:jc w:val="center"/>
        </w:trPr>
        <w:tc>
          <w:tcPr>
            <w:tcW w:w="5520" w:type="dxa"/>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2"/>
                <w:szCs w:val="22"/>
              </w:rPr>
            </w:pPr>
            <w:r>
              <w:rPr>
                <w:rFonts w:ascii="Century Gothic" w:cs="Calibri" w:hAnsi="Century Gothic"/>
                <w:color w:val="000000"/>
                <w:sz w:val="22"/>
                <w:szCs w:val="22"/>
              </w:rPr>
              <w:t xml:space="preserve">Conservation des massifs forestiers </w:t>
            </w:r>
          </w:p>
        </w:tc>
        <w:tc>
          <w:tcPr>
            <w:tcW w:w="2240" w:type="dxa"/>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b/>
                <w:color w:val="000000"/>
                <w:sz w:val="22"/>
                <w:szCs w:val="22"/>
              </w:rPr>
            </w:pPr>
            <w:r>
              <w:rPr>
                <w:rFonts w:ascii="Century Gothic" w:cs="Calibri" w:hAnsi="Century Gothic"/>
                <w:b/>
                <w:color w:val="000000"/>
                <w:sz w:val="22"/>
                <w:szCs w:val="22"/>
              </w:rPr>
              <w:t>-82 992,64</w:t>
            </w:r>
          </w:p>
        </w:tc>
      </w:tr>
      <w:tr>
        <w:tblPrEx/>
        <w:trPr>
          <w:trHeight w:val="178" w:hRule="atLeast"/>
          <w:jc w:val="center"/>
        </w:trPr>
        <w:tc>
          <w:tcPr>
            <w:tcW w:w="5520" w:type="dxa"/>
            <w:tcBorders>
              <w:top w:val="nil"/>
              <w:left w:val="single" w:sz="8" w:space="0" w:color="auto"/>
              <w:bottom w:val="single" w:sz="4" w:space="0" w:color="auto"/>
              <w:right w:val="single" w:sz="4" w:space="0" w:color="auto"/>
            </w:tcBorders>
            <w:shd w:val="clear" w:color="auto" w:fill="f4b083"/>
            <w:vAlign w:val="center"/>
          </w:tcPr>
          <w:p>
            <w:pPr>
              <w:pStyle w:val="style0"/>
              <w:rPr>
                <w:rFonts w:ascii="Century Gothic" w:cs="Calibri" w:hAnsi="Century Gothic"/>
                <w:b/>
                <w:color w:val="000000"/>
                <w:sz w:val="22"/>
                <w:szCs w:val="22"/>
              </w:rPr>
            </w:pPr>
            <w:r>
              <w:rPr>
                <w:rFonts w:ascii="Century Gothic" w:cs="Calibri" w:hAnsi="Century Gothic"/>
                <w:b/>
                <w:color w:val="000000"/>
                <w:sz w:val="22"/>
                <w:szCs w:val="22"/>
              </w:rPr>
              <w:t>EMMISSION</w:t>
            </w:r>
          </w:p>
        </w:tc>
        <w:tc>
          <w:tcPr>
            <w:tcW w:w="2240" w:type="dxa"/>
            <w:tcBorders>
              <w:top w:val="nil"/>
              <w:left w:val="nil"/>
              <w:bottom w:val="single" w:sz="4" w:space="0" w:color="auto"/>
              <w:right w:val="single" w:sz="8" w:space="0" w:color="auto"/>
            </w:tcBorders>
            <w:shd w:val="clear" w:color="auto" w:fill="f4b083"/>
            <w:noWrap/>
            <w:vAlign w:val="bottom"/>
          </w:tcPr>
          <w:p>
            <w:pPr>
              <w:pStyle w:val="style0"/>
              <w:jc w:val="center"/>
              <w:rPr>
                <w:rFonts w:ascii="Century Gothic" w:cs="Calibri" w:hAnsi="Century Gothic"/>
                <w:b/>
                <w:color w:val="000000"/>
                <w:sz w:val="22"/>
                <w:szCs w:val="22"/>
              </w:rPr>
            </w:pPr>
          </w:p>
        </w:tc>
      </w:tr>
      <w:tr>
        <w:tblPrEx/>
        <w:trPr>
          <w:trHeight w:val="96" w:hRule="atLeast"/>
          <w:jc w:val="center"/>
        </w:trPr>
        <w:tc>
          <w:tcPr>
            <w:tcW w:w="5520" w:type="dxa"/>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2"/>
                <w:szCs w:val="22"/>
              </w:rPr>
            </w:pPr>
            <w:r>
              <w:rPr>
                <w:rFonts w:ascii="Century Gothic" w:cs="Calibri" w:hAnsi="Century Gothic"/>
                <w:color w:val="000000"/>
                <w:sz w:val="22"/>
                <w:szCs w:val="22"/>
              </w:rPr>
              <w:t>Bornage</w:t>
            </w:r>
          </w:p>
        </w:tc>
        <w:tc>
          <w:tcPr>
            <w:tcW w:w="2240" w:type="dxa"/>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sz w:val="22"/>
                <w:szCs w:val="22"/>
              </w:rPr>
            </w:pPr>
            <w:r>
              <w:rPr>
                <w:rFonts w:ascii="Century Gothic" w:cs="Calibri" w:hAnsi="Century Gothic"/>
                <w:color w:val="000000"/>
                <w:sz w:val="22"/>
                <w:szCs w:val="22"/>
              </w:rPr>
              <w:t>0,73</w:t>
            </w:r>
          </w:p>
        </w:tc>
      </w:tr>
      <w:tr>
        <w:tblPrEx/>
        <w:trPr>
          <w:trHeight w:val="58" w:hRule="atLeast"/>
          <w:jc w:val="center"/>
        </w:trPr>
        <w:tc>
          <w:tcPr>
            <w:tcW w:w="5520" w:type="dxa"/>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2"/>
                <w:szCs w:val="22"/>
              </w:rPr>
            </w:pPr>
            <w:r>
              <w:rPr>
                <w:rFonts w:ascii="Century Gothic" w:cs="Calibri" w:hAnsi="Century Gothic"/>
                <w:color w:val="000000"/>
                <w:sz w:val="22"/>
                <w:szCs w:val="22"/>
              </w:rPr>
              <w:t>Panneautage</w:t>
            </w:r>
          </w:p>
        </w:tc>
        <w:tc>
          <w:tcPr>
            <w:tcW w:w="2240" w:type="dxa"/>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sz w:val="22"/>
                <w:szCs w:val="22"/>
              </w:rPr>
            </w:pPr>
            <w:r>
              <w:rPr>
                <w:rFonts w:ascii="Century Gothic" w:cs="Calibri" w:hAnsi="Century Gothic"/>
                <w:color w:val="000000"/>
                <w:sz w:val="22"/>
                <w:szCs w:val="22"/>
              </w:rPr>
              <w:t>0,20</w:t>
            </w:r>
          </w:p>
        </w:tc>
      </w:tr>
      <w:tr>
        <w:tblPrEx/>
        <w:trPr>
          <w:trHeight w:val="553" w:hRule="atLeast"/>
          <w:jc w:val="center"/>
        </w:trPr>
        <w:tc>
          <w:tcPr>
            <w:tcW w:w="5520" w:type="dxa"/>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2"/>
                <w:szCs w:val="22"/>
              </w:rPr>
            </w:pPr>
            <w:r>
              <w:rPr>
                <w:rFonts w:ascii="Century Gothic" w:cs="Calibri" w:hAnsi="Century Gothic"/>
                <w:color w:val="000000"/>
                <w:sz w:val="22"/>
                <w:szCs w:val="22"/>
              </w:rPr>
              <w:t>Unité transformation de Tangassogo (bâtiment, terrasse, hangar et latrines)</w:t>
            </w:r>
          </w:p>
        </w:tc>
        <w:tc>
          <w:tcPr>
            <w:tcW w:w="2240" w:type="dxa"/>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sz w:val="22"/>
                <w:szCs w:val="22"/>
              </w:rPr>
            </w:pPr>
            <w:r>
              <w:rPr>
                <w:rFonts w:ascii="Century Gothic" w:cs="Calibri" w:hAnsi="Century Gothic"/>
                <w:color w:val="000000"/>
                <w:sz w:val="22"/>
                <w:szCs w:val="22"/>
              </w:rPr>
              <w:t>49,70</w:t>
            </w:r>
          </w:p>
        </w:tc>
      </w:tr>
      <w:tr>
        <w:tblPrEx/>
        <w:trPr>
          <w:trHeight w:val="58" w:hRule="atLeast"/>
          <w:jc w:val="center"/>
        </w:trPr>
        <w:tc>
          <w:tcPr>
            <w:tcW w:w="5520" w:type="dxa"/>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2"/>
                <w:szCs w:val="22"/>
              </w:rPr>
            </w:pPr>
            <w:r>
              <w:rPr>
                <w:rFonts w:ascii="Century Gothic" w:cs="Calibri" w:hAnsi="Century Gothic"/>
                <w:color w:val="000000"/>
                <w:sz w:val="22"/>
                <w:szCs w:val="22"/>
              </w:rPr>
              <w:t xml:space="preserve">Production fumure organique </w:t>
            </w:r>
          </w:p>
        </w:tc>
        <w:tc>
          <w:tcPr>
            <w:tcW w:w="2240" w:type="dxa"/>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sz w:val="22"/>
                <w:szCs w:val="22"/>
              </w:rPr>
            </w:pPr>
            <w:r>
              <w:rPr>
                <w:rFonts w:ascii="Century Gothic" w:cs="Calibri" w:hAnsi="Century Gothic"/>
                <w:color w:val="000000"/>
                <w:sz w:val="22"/>
                <w:szCs w:val="22"/>
              </w:rPr>
              <w:t>4 331,64</w:t>
            </w:r>
          </w:p>
        </w:tc>
      </w:tr>
      <w:tr>
        <w:tblPrEx/>
        <w:trPr>
          <w:trHeight w:val="58" w:hRule="atLeast"/>
          <w:jc w:val="center"/>
        </w:trPr>
        <w:tc>
          <w:tcPr>
            <w:tcW w:w="5520" w:type="dxa"/>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2"/>
                <w:szCs w:val="22"/>
              </w:rPr>
            </w:pPr>
            <w:r>
              <w:rPr>
                <w:rFonts w:ascii="Century Gothic" w:cs="Calibri" w:hAnsi="Century Gothic"/>
                <w:color w:val="000000"/>
                <w:sz w:val="22"/>
                <w:szCs w:val="22"/>
              </w:rPr>
              <w:t xml:space="preserve">Carburant fonctionnement unité PFLN </w:t>
            </w:r>
          </w:p>
        </w:tc>
        <w:tc>
          <w:tcPr>
            <w:tcW w:w="2240" w:type="dxa"/>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sz w:val="22"/>
                <w:szCs w:val="22"/>
              </w:rPr>
            </w:pPr>
            <w:r>
              <w:rPr>
                <w:rFonts w:ascii="Century Gothic" w:cs="Calibri" w:hAnsi="Century Gothic"/>
                <w:color w:val="000000"/>
                <w:sz w:val="22"/>
                <w:szCs w:val="22"/>
              </w:rPr>
              <w:t>13,87</w:t>
            </w:r>
          </w:p>
        </w:tc>
      </w:tr>
      <w:tr>
        <w:tblPrEx/>
        <w:trPr>
          <w:trHeight w:val="58" w:hRule="atLeast"/>
          <w:jc w:val="center"/>
        </w:trPr>
        <w:tc>
          <w:tcPr>
            <w:tcW w:w="5520" w:type="dxa"/>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2"/>
                <w:szCs w:val="22"/>
              </w:rPr>
            </w:pPr>
            <w:r>
              <w:rPr>
                <w:rFonts w:ascii="Century Gothic" w:cs="Calibri" w:hAnsi="Century Gothic"/>
                <w:color w:val="000000"/>
                <w:sz w:val="22"/>
                <w:szCs w:val="22"/>
              </w:rPr>
              <w:t xml:space="preserve">Déplacement lors la formation élus locaux </w:t>
            </w:r>
          </w:p>
        </w:tc>
        <w:tc>
          <w:tcPr>
            <w:tcW w:w="2240" w:type="dxa"/>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sz w:val="22"/>
                <w:szCs w:val="22"/>
              </w:rPr>
            </w:pPr>
            <w:r>
              <w:rPr>
                <w:rFonts w:ascii="Century Gothic" w:cs="Calibri" w:hAnsi="Century Gothic"/>
                <w:color w:val="000000"/>
                <w:sz w:val="22"/>
                <w:szCs w:val="22"/>
              </w:rPr>
              <w:t>3,03</w:t>
            </w:r>
          </w:p>
        </w:tc>
      </w:tr>
      <w:tr>
        <w:tblPrEx/>
        <w:trPr>
          <w:trHeight w:val="124" w:hRule="atLeast"/>
          <w:jc w:val="center"/>
        </w:trPr>
        <w:tc>
          <w:tcPr>
            <w:tcW w:w="5520" w:type="dxa"/>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2"/>
                <w:szCs w:val="22"/>
              </w:rPr>
            </w:pPr>
            <w:r>
              <w:rPr>
                <w:rFonts w:ascii="Century Gothic" w:cs="Calibri" w:hAnsi="Century Gothic"/>
                <w:color w:val="000000"/>
                <w:sz w:val="22"/>
                <w:szCs w:val="22"/>
              </w:rPr>
              <w:t xml:space="preserve">Déplacement lors du renouvèlement des CCFV  </w:t>
            </w:r>
          </w:p>
        </w:tc>
        <w:tc>
          <w:tcPr>
            <w:tcW w:w="2240" w:type="dxa"/>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sz w:val="22"/>
                <w:szCs w:val="22"/>
              </w:rPr>
            </w:pPr>
            <w:r>
              <w:rPr>
                <w:rFonts w:ascii="Century Gothic" w:cs="Calibri" w:hAnsi="Century Gothic"/>
                <w:color w:val="000000"/>
                <w:sz w:val="22"/>
                <w:szCs w:val="22"/>
              </w:rPr>
              <w:t>0,43</w:t>
            </w:r>
          </w:p>
        </w:tc>
      </w:tr>
      <w:tr>
        <w:tblPrEx/>
        <w:trPr>
          <w:trHeight w:val="114" w:hRule="atLeast"/>
          <w:jc w:val="center"/>
        </w:trPr>
        <w:tc>
          <w:tcPr>
            <w:tcW w:w="5520" w:type="dxa"/>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2"/>
                <w:szCs w:val="22"/>
              </w:rPr>
            </w:pPr>
            <w:r>
              <w:rPr>
                <w:rFonts w:ascii="Century Gothic" w:cs="Calibri" w:hAnsi="Century Gothic"/>
                <w:color w:val="000000"/>
                <w:sz w:val="22"/>
                <w:szCs w:val="22"/>
              </w:rPr>
              <w:t>Déplacement du responsable sauvegarde environnemental et social du PDIC</w:t>
            </w:r>
          </w:p>
        </w:tc>
        <w:tc>
          <w:tcPr>
            <w:tcW w:w="2240" w:type="dxa"/>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sz w:val="22"/>
                <w:szCs w:val="22"/>
              </w:rPr>
            </w:pPr>
            <w:r>
              <w:rPr>
                <w:rFonts w:ascii="Century Gothic" w:cs="Calibri" w:hAnsi="Century Gothic"/>
                <w:color w:val="000000"/>
                <w:sz w:val="22"/>
                <w:szCs w:val="22"/>
              </w:rPr>
              <w:t>8,67</w:t>
            </w:r>
          </w:p>
        </w:tc>
      </w:tr>
      <w:tr>
        <w:tblPrEx/>
        <w:trPr>
          <w:trHeight w:val="58" w:hRule="atLeast"/>
          <w:jc w:val="center"/>
        </w:trPr>
        <w:tc>
          <w:tcPr>
            <w:tcW w:w="5520" w:type="dxa"/>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2"/>
                <w:szCs w:val="22"/>
              </w:rPr>
            </w:pPr>
            <w:r>
              <w:rPr>
                <w:rFonts w:ascii="Century Gothic" w:cs="Calibri" w:hAnsi="Century Gothic"/>
                <w:color w:val="000000"/>
                <w:sz w:val="22"/>
                <w:szCs w:val="22"/>
              </w:rPr>
              <w:t xml:space="preserve">Déplacement lors de l'atelier de restitution </w:t>
            </w:r>
          </w:p>
        </w:tc>
        <w:tc>
          <w:tcPr>
            <w:tcW w:w="2240" w:type="dxa"/>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sz w:val="22"/>
                <w:szCs w:val="22"/>
              </w:rPr>
            </w:pPr>
            <w:r>
              <w:rPr>
                <w:rFonts w:ascii="Century Gothic" w:cs="Calibri" w:hAnsi="Century Gothic"/>
                <w:color w:val="000000"/>
                <w:sz w:val="22"/>
                <w:szCs w:val="22"/>
              </w:rPr>
              <w:t>3,03</w:t>
            </w:r>
          </w:p>
        </w:tc>
      </w:tr>
      <w:tr>
        <w:tblPrEx/>
        <w:trPr>
          <w:trHeight w:val="136" w:hRule="atLeast"/>
          <w:jc w:val="center"/>
        </w:trPr>
        <w:tc>
          <w:tcPr>
            <w:tcW w:w="5520" w:type="dxa"/>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2"/>
                <w:szCs w:val="22"/>
              </w:rPr>
            </w:pPr>
            <w:r>
              <w:rPr>
                <w:rFonts w:ascii="Century Gothic" w:cs="Calibri" w:hAnsi="Century Gothic"/>
                <w:color w:val="000000"/>
                <w:sz w:val="22"/>
                <w:szCs w:val="22"/>
              </w:rPr>
              <w:t>Déplacement lors de la session d'adoption</w:t>
            </w:r>
          </w:p>
        </w:tc>
        <w:tc>
          <w:tcPr>
            <w:tcW w:w="2240" w:type="dxa"/>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sz w:val="22"/>
                <w:szCs w:val="22"/>
              </w:rPr>
            </w:pPr>
            <w:r>
              <w:rPr>
                <w:rFonts w:ascii="Century Gothic" w:cs="Calibri" w:hAnsi="Century Gothic"/>
                <w:color w:val="000000"/>
                <w:sz w:val="22"/>
                <w:szCs w:val="22"/>
              </w:rPr>
              <w:t>3,03</w:t>
            </w:r>
          </w:p>
        </w:tc>
      </w:tr>
      <w:tr>
        <w:tblPrEx/>
        <w:trPr>
          <w:trHeight w:val="143" w:hRule="atLeast"/>
          <w:jc w:val="center"/>
        </w:trPr>
        <w:tc>
          <w:tcPr>
            <w:tcW w:w="5520" w:type="dxa"/>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2"/>
                <w:szCs w:val="22"/>
              </w:rPr>
            </w:pPr>
            <w:r>
              <w:rPr>
                <w:rFonts w:ascii="Century Gothic" w:cs="Calibri" w:hAnsi="Century Gothic"/>
                <w:color w:val="000000"/>
                <w:sz w:val="22"/>
                <w:szCs w:val="22"/>
              </w:rPr>
              <w:t>Déplacement lors de l’atelier de lancement</w:t>
            </w:r>
          </w:p>
        </w:tc>
        <w:tc>
          <w:tcPr>
            <w:tcW w:w="2240" w:type="dxa"/>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sz w:val="22"/>
                <w:szCs w:val="22"/>
              </w:rPr>
            </w:pPr>
            <w:r>
              <w:rPr>
                <w:rFonts w:ascii="Century Gothic" w:cs="Calibri" w:hAnsi="Century Gothic"/>
                <w:color w:val="000000"/>
                <w:sz w:val="22"/>
                <w:szCs w:val="22"/>
              </w:rPr>
              <w:t>3,03</w:t>
            </w:r>
          </w:p>
        </w:tc>
      </w:tr>
      <w:tr>
        <w:tblPrEx/>
        <w:trPr>
          <w:trHeight w:val="276" w:hRule="atLeast"/>
          <w:jc w:val="center"/>
        </w:trPr>
        <w:tc>
          <w:tcPr>
            <w:tcW w:w="5520" w:type="dxa"/>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2"/>
                <w:szCs w:val="22"/>
              </w:rPr>
            </w:pPr>
            <w:r>
              <w:rPr>
                <w:rFonts w:ascii="Century Gothic" w:cs="Calibri" w:hAnsi="Century Gothic"/>
                <w:color w:val="000000"/>
                <w:sz w:val="22"/>
                <w:szCs w:val="22"/>
              </w:rPr>
              <w:t>Déplacement lors de l’atelier de capitalisation</w:t>
            </w:r>
          </w:p>
        </w:tc>
        <w:tc>
          <w:tcPr>
            <w:tcW w:w="2240" w:type="dxa"/>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sz w:val="22"/>
                <w:szCs w:val="22"/>
              </w:rPr>
            </w:pPr>
            <w:r>
              <w:rPr>
                <w:rFonts w:ascii="Century Gothic" w:cs="Calibri" w:hAnsi="Century Gothic"/>
                <w:color w:val="000000"/>
                <w:sz w:val="22"/>
                <w:szCs w:val="22"/>
              </w:rPr>
              <w:t>3,03</w:t>
            </w:r>
          </w:p>
        </w:tc>
      </w:tr>
      <w:tr>
        <w:tblPrEx/>
        <w:trPr>
          <w:trHeight w:val="432" w:hRule="atLeast"/>
          <w:jc w:val="center"/>
        </w:trPr>
        <w:tc>
          <w:tcPr>
            <w:tcW w:w="5520" w:type="dxa"/>
            <w:tcBorders>
              <w:top w:val="nil"/>
              <w:left w:val="single" w:sz="8" w:space="0" w:color="auto"/>
              <w:bottom w:val="single" w:sz="4" w:space="0" w:color="auto"/>
              <w:right w:val="single" w:sz="4" w:space="0" w:color="auto"/>
            </w:tcBorders>
            <w:shd w:val="clear" w:color="auto" w:fill="auto"/>
            <w:vAlign w:val="center"/>
            <w:hideMark/>
          </w:tcPr>
          <w:p>
            <w:pPr>
              <w:pStyle w:val="style0"/>
              <w:rPr>
                <w:rFonts w:ascii="Century Gothic" w:cs="Calibri" w:hAnsi="Century Gothic"/>
                <w:color w:val="000000"/>
                <w:sz w:val="22"/>
                <w:szCs w:val="22"/>
              </w:rPr>
            </w:pPr>
            <w:r>
              <w:rPr>
                <w:rFonts w:ascii="Century Gothic" w:cs="Calibri" w:hAnsi="Century Gothic"/>
                <w:color w:val="000000"/>
                <w:sz w:val="22"/>
                <w:szCs w:val="22"/>
              </w:rPr>
              <w:t xml:space="preserve">Utilisation de l'électricité dans le cadre de la gestion du projet </w:t>
            </w:r>
          </w:p>
        </w:tc>
        <w:tc>
          <w:tcPr>
            <w:tcW w:w="2240" w:type="dxa"/>
            <w:tcBorders>
              <w:top w:val="nil"/>
              <w:left w:val="nil"/>
              <w:bottom w:val="single" w:sz="4" w:space="0" w:color="auto"/>
              <w:right w:val="single" w:sz="8" w:space="0" w:color="auto"/>
            </w:tcBorders>
            <w:shd w:val="clear" w:color="auto" w:fill="auto"/>
            <w:noWrap/>
            <w:vAlign w:val="bottom"/>
            <w:hideMark/>
          </w:tcPr>
          <w:p>
            <w:pPr>
              <w:pStyle w:val="style0"/>
              <w:jc w:val="center"/>
              <w:rPr>
                <w:rFonts w:ascii="Century Gothic" w:cs="Calibri" w:hAnsi="Century Gothic"/>
                <w:color w:val="000000"/>
                <w:sz w:val="22"/>
                <w:szCs w:val="22"/>
              </w:rPr>
            </w:pPr>
            <w:r>
              <w:rPr>
                <w:rFonts w:ascii="Century Gothic" w:cs="Calibri" w:hAnsi="Century Gothic"/>
                <w:color w:val="000000"/>
                <w:sz w:val="22"/>
                <w:szCs w:val="22"/>
              </w:rPr>
              <w:t>13,75</w:t>
            </w:r>
          </w:p>
        </w:tc>
      </w:tr>
      <w:tr>
        <w:tblPrEx/>
        <w:trPr>
          <w:trHeight w:val="169" w:hRule="atLeast"/>
          <w:jc w:val="center"/>
        </w:trPr>
        <w:tc>
          <w:tcPr>
            <w:tcW w:w="5520" w:type="dxa"/>
            <w:tcBorders>
              <w:top w:val="nil"/>
              <w:left w:val="single" w:sz="8" w:space="0" w:color="auto"/>
              <w:bottom w:val="single" w:sz="8" w:space="0" w:color="auto"/>
              <w:right w:val="single" w:sz="4" w:space="0" w:color="auto"/>
            </w:tcBorders>
            <w:shd w:val="clear" w:color="auto" w:fill="auto"/>
            <w:noWrap/>
            <w:vAlign w:val="bottom"/>
            <w:hideMark/>
          </w:tcPr>
          <w:p>
            <w:pPr>
              <w:pStyle w:val="style0"/>
              <w:rPr>
                <w:rFonts w:ascii="Century Gothic" w:cs="Calibri" w:hAnsi="Century Gothic"/>
                <w:b/>
                <w:bCs/>
                <w:color w:val="000000"/>
                <w:sz w:val="22"/>
                <w:szCs w:val="22"/>
              </w:rPr>
            </w:pPr>
            <w:r>
              <w:rPr>
                <w:rFonts w:ascii="Century Gothic" w:cs="Calibri" w:hAnsi="Century Gothic"/>
                <w:b/>
                <w:bCs/>
                <w:color w:val="000000"/>
                <w:sz w:val="22"/>
                <w:szCs w:val="22"/>
              </w:rPr>
              <w:t>Bilan général</w:t>
            </w:r>
          </w:p>
        </w:tc>
        <w:tc>
          <w:tcPr>
            <w:tcW w:w="2240" w:type="dxa"/>
            <w:tcBorders>
              <w:top w:val="nil"/>
              <w:left w:val="nil"/>
              <w:bottom w:val="single" w:sz="8" w:space="0" w:color="auto"/>
              <w:right w:val="single" w:sz="8" w:space="0" w:color="auto"/>
            </w:tcBorders>
            <w:shd w:val="clear" w:color="auto" w:fill="auto"/>
            <w:noWrap/>
            <w:vAlign w:val="bottom"/>
            <w:hideMark/>
          </w:tcPr>
          <w:p>
            <w:pPr>
              <w:pStyle w:val="style0"/>
              <w:jc w:val="center"/>
              <w:rPr>
                <w:rFonts w:ascii="Century Gothic" w:cs="Calibri" w:hAnsi="Century Gothic"/>
                <w:b/>
                <w:bCs/>
                <w:color w:val="000000"/>
                <w:sz w:val="22"/>
                <w:szCs w:val="22"/>
              </w:rPr>
            </w:pPr>
            <w:r>
              <w:rPr>
                <w:rFonts w:ascii="Century Gothic" w:cs="Calibri" w:hAnsi="Century Gothic"/>
                <w:b/>
                <w:bCs/>
                <w:color w:val="000000"/>
                <w:sz w:val="22"/>
                <w:szCs w:val="22"/>
              </w:rPr>
              <w:t>-79 311</w:t>
            </w:r>
          </w:p>
        </w:tc>
      </w:tr>
    </w:tbl>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p>
      <w:pPr>
        <w:pStyle w:val="style0"/>
        <w:spacing w:after="160" w:lineRule="auto" w:line="259"/>
        <w:rPr>
          <w:rFonts w:ascii="Century Gothic" w:hAnsi="Century Gothic"/>
          <w:b/>
        </w:rPr>
      </w:pPr>
      <w:r>
        <w:rPr>
          <w:rFonts w:ascii="Century Gothic" w:hAnsi="Century Gothic"/>
          <w:b/>
        </w:rPr>
        <w:br w:type="page"/>
      </w:r>
    </w:p>
    <w:p>
      <w:pPr>
        <w:pStyle w:val="style0"/>
        <w:tabs>
          <w:tab w:val="left" w:leader="none" w:pos="9214"/>
          <w:tab w:val="left" w:leader="none" w:pos="9639"/>
        </w:tabs>
        <w:rPr>
          <w:rFonts w:ascii="Century Gothic" w:hAnsi="Century Gothic"/>
          <w:b/>
        </w:rPr>
      </w:pPr>
    </w:p>
    <w:bookmarkStart w:id="74" w:name="_Toc82046100"/>
    <w:bookmarkEnd w:id="71"/>
    <w:bookmarkEnd w:id="72"/>
    <w:p>
      <w:pPr>
        <w:pStyle w:val="style2"/>
        <w:numPr>
          <w:ilvl w:val="0"/>
          <w:numId w:val="0"/>
        </w:numPr>
        <w:rPr>
          <w:rFonts w:ascii="Century Gothic" w:hAnsi="Century Gothic"/>
        </w:rPr>
      </w:pPr>
      <w:r>
        <w:rPr>
          <w:rFonts w:ascii="Century Gothic" w:hAnsi="Century Gothic"/>
        </w:rPr>
        <w:t xml:space="preserve">Annexe  </w:t>
      </w:r>
      <w:r>
        <w:rPr>
          <w:rFonts w:ascii="Century Gothic" w:hAnsi="Century Gothic"/>
        </w:rPr>
        <w:t>3</w:t>
      </w:r>
      <w:r>
        <w:rPr>
          <w:rFonts w:ascii="Century Gothic" w:hAnsi="Century Gothic"/>
        </w:rPr>
        <w:t> : Listes et contacts des personnes et structures rencontrées</w:t>
      </w:r>
      <w:bookmarkEnd w:id="74"/>
    </w:p>
    <w:p>
      <w:pPr>
        <w:pStyle w:val="style0"/>
        <w:tabs>
          <w:tab w:val="left" w:leader="none" w:pos="9214"/>
          <w:tab w:val="left" w:leader="none" w:pos="9639"/>
        </w:tabs>
        <w:jc w:val="both"/>
        <w:rPr>
          <w:rFonts w:ascii="Century Gothic" w:hAnsi="Century Gothic"/>
          <w:b/>
        </w:rPr>
      </w:pPr>
    </w:p>
    <w:p>
      <w:pPr>
        <w:pStyle w:val="style0"/>
        <w:spacing w:after="160" w:lineRule="auto" w:line="259"/>
        <w:rPr>
          <w:rFonts w:ascii="Century Gothic" w:hAnsi="Century Gothic"/>
        </w:rPr>
      </w:pPr>
      <w:r>
        <w:rPr>
          <w:rFonts w:ascii="Century Gothic" w:hAnsi="Century Gothic"/>
          <w:noProof/>
        </w:rPr>
        <w:drawing>
          <wp:anchor distT="0" distB="0" distL="114300" distR="114300" simplePos="false" relativeHeight="6" behindDoc="true" locked="false" layoutInCell="true" allowOverlap="true">
            <wp:simplePos x="0" y="0"/>
            <wp:positionH relativeFrom="margin">
              <wp:posOffset>-232410</wp:posOffset>
            </wp:positionH>
            <wp:positionV relativeFrom="paragraph">
              <wp:posOffset>276225</wp:posOffset>
            </wp:positionV>
            <wp:extent cx="3200400" cy="1796415"/>
            <wp:effectExtent l="0" t="0" r="0" b="0"/>
            <wp:wrapTight wrapText="bothSides">
              <wp:wrapPolygon edited="false">
                <wp:start x="0" y="0"/>
                <wp:lineTo x="0" y="21302"/>
                <wp:lineTo x="21471" y="21302"/>
                <wp:lineTo x="21471" y="0"/>
                <wp:lineTo x="0" y="0"/>
              </wp:wrapPolygon>
            </wp:wrapTight>
            <wp:docPr id="1041" name="Image 16" descr="Liste présenc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16"/>
                    <pic:cNvPicPr/>
                  </pic:nvPicPr>
                  <pic:blipFill>
                    <a:blip r:embed="rId16" cstate="print"/>
                    <a:srcRect l="0" t="0" r="0" b="0"/>
                    <a:stretch/>
                  </pic:blipFill>
                  <pic:spPr>
                    <a:xfrm rot="0">
                      <a:off x="0" y="0"/>
                      <a:ext cx="3200400" cy="1796415"/>
                    </a:xfrm>
                    <a:prstGeom prst="rect"/>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rPr>
        <w:drawing>
          <wp:anchor distT="0" distB="0" distL="114300" distR="114300" simplePos="false" relativeHeight="7" behindDoc="true" locked="false" layoutInCell="true" allowOverlap="true">
            <wp:simplePos x="0" y="0"/>
            <wp:positionH relativeFrom="column">
              <wp:posOffset>3005455</wp:posOffset>
            </wp:positionH>
            <wp:positionV relativeFrom="paragraph">
              <wp:posOffset>299085</wp:posOffset>
            </wp:positionV>
            <wp:extent cx="3242944" cy="1823720"/>
            <wp:effectExtent l="0" t="0" r="0" b="5080"/>
            <wp:wrapTight wrapText="bothSides">
              <wp:wrapPolygon edited="false">
                <wp:start x="0" y="0"/>
                <wp:lineTo x="0" y="21435"/>
                <wp:lineTo x="21444" y="21435"/>
                <wp:lineTo x="21444" y="0"/>
                <wp:lineTo x="0" y="0"/>
              </wp:wrapPolygon>
            </wp:wrapTight>
            <wp:docPr id="1042" name="Image 17" descr="C:\Users\HP\Desktop\DOSSIER PDIC-GAMOWIGNA\DOCUMENTS PDIC TIEBELE-ZECCO\PDIC TIEBELE\Liste présence-Tiebele-complementair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17"/>
                    <pic:cNvPicPr/>
                  </pic:nvPicPr>
                  <pic:blipFill>
                    <a:blip r:embed="rId17" cstate="print"/>
                    <a:srcRect l="0" t="0" r="0" b="0"/>
                    <a:stretch/>
                  </pic:blipFill>
                  <pic:spPr>
                    <a:xfrm rot="0">
                      <a:off x="0" y="0"/>
                      <a:ext cx="3242944" cy="1823720"/>
                    </a:xfrm>
                    <a:prstGeom prst="rect"/>
                    <a:ln>
                      <a:noFill/>
                    </a:ln>
                  </pic:spPr>
                </pic:pic>
              </a:graphicData>
            </a:graphic>
            <wp14:sizeRelH relativeFrom="page">
              <wp14:pctWidth>0</wp14:pctWidth>
            </wp14:sizeRelH>
            <wp14:sizeRelV relativeFrom="page">
              <wp14:pctHeight>0</wp14:pctHeight>
            </wp14:sizeRelV>
          </wp:anchor>
        </w:drawing>
      </w:r>
    </w:p>
    <w:p>
      <w:pPr>
        <w:pStyle w:val="style0"/>
        <w:spacing w:after="160" w:lineRule="auto" w:line="259"/>
        <w:rPr>
          <w:rFonts w:ascii="Century Gothic" w:hAnsi="Century Gothic"/>
        </w:rPr>
      </w:pPr>
    </w:p>
    <w:p>
      <w:pPr>
        <w:pStyle w:val="style0"/>
        <w:spacing w:after="160" w:lineRule="auto" w:line="259"/>
        <w:rPr>
          <w:rFonts w:ascii="Century Gothic" w:hAnsi="Century Gothic"/>
        </w:rPr>
      </w:pPr>
      <w:r>
        <w:rPr>
          <w:rFonts w:ascii="Century Gothic" w:hAnsi="Century Gothic"/>
        </w:rPr>
        <w:br w:type="page"/>
      </w:r>
    </w:p>
    <w:p>
      <w:pPr>
        <w:pStyle w:val="style0"/>
        <w:tabs>
          <w:tab w:val="left" w:leader="none" w:pos="9214"/>
          <w:tab w:val="left" w:leader="none" w:pos="9639"/>
        </w:tabs>
        <w:rPr>
          <w:rFonts w:ascii="Century Gothic" w:hAnsi="Century Gothic"/>
        </w:rPr>
      </w:pPr>
    </w:p>
    <w:bookmarkStart w:id="75" w:name="_Toc82046101"/>
    <w:p>
      <w:pPr>
        <w:pStyle w:val="style2"/>
        <w:numPr>
          <w:ilvl w:val="0"/>
          <w:numId w:val="0"/>
        </w:numPr>
        <w:rPr>
          <w:rFonts w:ascii="Century Gothic" w:hAnsi="Century Gothic"/>
        </w:rPr>
      </w:pPr>
      <w:r>
        <w:rPr>
          <w:rFonts w:ascii="Century Gothic" w:hAnsi="Century Gothic"/>
        </w:rPr>
        <w:t xml:space="preserve">Annexe  </w:t>
      </w:r>
      <w:r>
        <w:rPr>
          <w:rFonts w:ascii="Century Gothic" w:hAnsi="Century Gothic"/>
        </w:rPr>
        <w:t>4</w:t>
      </w:r>
      <w:r>
        <w:rPr>
          <w:rFonts w:ascii="Century Gothic" w:hAnsi="Century Gothic"/>
        </w:rPr>
        <w:t> : Quelques photos du processus d’élaboration du PDIC/REDD+ de Tiébélé</w:t>
      </w:r>
      <w:bookmarkEnd w:id="75"/>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tbl>
      <w:tblPr>
        <w:tblStyle w:val="style154"/>
        <w:tblW w:w="0" w:type="auto"/>
        <w:tblLook w:val="04A0" w:firstRow="1" w:lastRow="0" w:firstColumn="1" w:lastColumn="0" w:noHBand="0" w:noVBand="1"/>
      </w:tblPr>
      <w:tblGrid>
        <w:gridCol w:w="2859"/>
        <w:gridCol w:w="6783"/>
      </w:tblGrid>
      <w:tr>
        <w:trPr/>
        <w:tc>
          <w:tcPr>
            <w:tcW w:w="2859" w:type="dxa"/>
            <w:tcBorders/>
            <w:vAlign w:val="center"/>
          </w:tcPr>
          <w:p>
            <w:pPr>
              <w:pStyle w:val="style0"/>
              <w:tabs>
                <w:tab w:val="left" w:leader="none" w:pos="9214"/>
                <w:tab w:val="left" w:leader="none" w:pos="9639"/>
              </w:tabs>
              <w:jc w:val="center"/>
              <w:rPr>
                <w:rFonts w:ascii="Century Gothic" w:hAnsi="Century Gothic"/>
                <w:b/>
              </w:rPr>
            </w:pPr>
            <w:r>
              <w:rPr>
                <w:rFonts w:ascii="Century Gothic" w:hAnsi="Century Gothic"/>
                <w:b/>
              </w:rPr>
              <w:t>ACTIVITES</w:t>
            </w:r>
          </w:p>
        </w:tc>
        <w:tc>
          <w:tcPr>
            <w:tcW w:w="6783" w:type="dxa"/>
            <w:tcBorders/>
          </w:tcPr>
          <w:p>
            <w:pPr>
              <w:pStyle w:val="style0"/>
              <w:tabs>
                <w:tab w:val="left" w:leader="none" w:pos="9214"/>
                <w:tab w:val="left" w:leader="none" w:pos="9639"/>
              </w:tabs>
              <w:jc w:val="center"/>
              <w:rPr>
                <w:rFonts w:ascii="Century Gothic" w:hAnsi="Century Gothic"/>
                <w:b/>
              </w:rPr>
            </w:pPr>
            <w:r>
              <w:rPr>
                <w:rFonts w:ascii="Century Gothic" w:hAnsi="Century Gothic"/>
                <w:b/>
              </w:rPr>
              <w:t>PHOTOS</w:t>
            </w:r>
          </w:p>
        </w:tc>
      </w:tr>
      <w:tr>
        <w:tblPrEx/>
        <w:trPr/>
        <w:tc>
          <w:tcPr>
            <w:tcW w:w="2859" w:type="dxa"/>
            <w:tcBorders/>
            <w:vAlign w:val="center"/>
          </w:tcPr>
          <w:p>
            <w:pPr>
              <w:pStyle w:val="style0"/>
              <w:tabs>
                <w:tab w:val="left" w:leader="none" w:pos="9214"/>
                <w:tab w:val="left" w:leader="none" w:pos="9639"/>
              </w:tabs>
              <w:jc w:val="center"/>
              <w:rPr>
                <w:rFonts w:ascii="Century Gothic" w:hAnsi="Century Gothic"/>
              </w:rPr>
            </w:pPr>
            <w:r>
              <w:rPr>
                <w:rFonts w:ascii="Century Gothic" w:hAnsi="Century Gothic"/>
              </w:rPr>
              <w:t>Rencontre d’information avec la commission communale du suivi de l’élaboration du PDIC/REDD+</w:t>
            </w:r>
          </w:p>
        </w:tc>
        <w:tc>
          <w:tcPr>
            <w:tcW w:w="6783" w:type="dxa"/>
            <w:tcBorders/>
          </w:tcPr>
          <w:p>
            <w:pPr>
              <w:pStyle w:val="style0"/>
              <w:tabs>
                <w:tab w:val="left" w:leader="none" w:pos="9214"/>
                <w:tab w:val="left" w:leader="none" w:pos="9639"/>
              </w:tabs>
              <w:rPr>
                <w:rFonts w:ascii="Century Gothic" w:hAnsi="Century Gothic"/>
              </w:rPr>
            </w:pPr>
            <w:r>
              <w:rPr>
                <w:rFonts w:ascii="Century Gothic" w:hAnsi="Century Gothic"/>
                <w:noProof/>
              </w:rPr>
              <w:drawing>
                <wp:anchor distT="0" distB="0" distL="114300" distR="114300" simplePos="false" relativeHeight="4" behindDoc="true" locked="false" layoutInCell="true" allowOverlap="true">
                  <wp:simplePos x="0" y="0"/>
                  <wp:positionH relativeFrom="column">
                    <wp:posOffset>59690</wp:posOffset>
                  </wp:positionH>
                  <wp:positionV relativeFrom="paragraph">
                    <wp:posOffset>0</wp:posOffset>
                  </wp:positionV>
                  <wp:extent cx="3837940" cy="2159000"/>
                  <wp:effectExtent l="0" t="0" r="0" b="0"/>
                  <wp:wrapTight wrapText="bothSides">
                    <wp:wrapPolygon edited="false">
                      <wp:start x="0" y="0"/>
                      <wp:lineTo x="0" y="21346"/>
                      <wp:lineTo x="21443" y="21346"/>
                      <wp:lineTo x="21443" y="0"/>
                      <wp:lineTo x="0" y="0"/>
                    </wp:wrapPolygon>
                  </wp:wrapTight>
                  <wp:docPr id="1043" name="Image 12" descr="Photo rencontre info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12"/>
                          <pic:cNvPicPr/>
                        </pic:nvPicPr>
                        <pic:blipFill>
                          <a:blip r:embed="rId18" cstate="print"/>
                          <a:srcRect l="0" t="0" r="0" b="0"/>
                          <a:stretch/>
                        </pic:blipFill>
                        <pic:spPr>
                          <a:xfrm rot="0">
                            <a:off x="0" y="0"/>
                            <a:ext cx="3837940" cy="2159000"/>
                          </a:xfrm>
                          <a:prstGeom prst="rect"/>
                          <a:ln>
                            <a:noFill/>
                          </a:ln>
                        </pic:spPr>
                      </pic:pic>
                    </a:graphicData>
                  </a:graphic>
                  <wp14:sizeRelH relativeFrom="page">
                    <wp14:pctWidth>0</wp14:pctWidth>
                  </wp14:sizeRelH>
                  <wp14:sizeRelV relativeFrom="page">
                    <wp14:pctHeight>0</wp14:pctHeight>
                  </wp14:sizeRelV>
                </wp:anchor>
              </w:drawing>
            </w:r>
          </w:p>
        </w:tc>
      </w:tr>
      <w:tr>
        <w:tblPrEx/>
        <w:trPr/>
        <w:tc>
          <w:tcPr>
            <w:tcW w:w="2859" w:type="dxa"/>
            <w:tcBorders/>
            <w:vAlign w:val="center"/>
          </w:tcPr>
          <w:p>
            <w:pPr>
              <w:pStyle w:val="style0"/>
              <w:tabs>
                <w:tab w:val="left" w:leader="none" w:pos="9214"/>
                <w:tab w:val="left" w:leader="none" w:pos="9639"/>
              </w:tabs>
              <w:jc w:val="center"/>
              <w:rPr>
                <w:rFonts w:ascii="Century Gothic" w:hAnsi="Century Gothic"/>
              </w:rPr>
            </w:pPr>
            <w:r>
              <w:rPr>
                <w:rFonts w:ascii="Century Gothic" w:hAnsi="Century Gothic"/>
              </w:rPr>
              <w:t>Séance de travail avec lors de la mission préparatoire</w:t>
            </w:r>
          </w:p>
        </w:tc>
        <w:tc>
          <w:tcPr>
            <w:tcW w:w="6783" w:type="dxa"/>
            <w:tcBorders/>
          </w:tcPr>
          <w:p>
            <w:pPr>
              <w:pStyle w:val="style0"/>
              <w:tabs>
                <w:tab w:val="left" w:leader="none" w:pos="9214"/>
                <w:tab w:val="left" w:leader="none" w:pos="9639"/>
              </w:tabs>
              <w:rPr>
                <w:rFonts w:ascii="Century Gothic" w:hAnsi="Century Gothic"/>
              </w:rPr>
            </w:pPr>
            <w:r>
              <w:rPr>
                <w:rFonts w:ascii="Century Gothic" w:hAnsi="Century Gothic"/>
                <w:noProof/>
              </w:rPr>
              <w:drawing>
                <wp:anchor distT="0" distB="0" distL="114300" distR="114300" simplePos="false" relativeHeight="5" behindDoc="true" locked="false" layoutInCell="true" allowOverlap="true">
                  <wp:simplePos x="0" y="0"/>
                  <wp:positionH relativeFrom="column">
                    <wp:posOffset>40640</wp:posOffset>
                  </wp:positionH>
                  <wp:positionV relativeFrom="paragraph">
                    <wp:posOffset>106679</wp:posOffset>
                  </wp:positionV>
                  <wp:extent cx="4014047" cy="2257901"/>
                  <wp:effectExtent l="0" t="0" r="5715" b="9525"/>
                  <wp:wrapTight wrapText="bothSides">
                    <wp:wrapPolygon edited="false">
                      <wp:start x="0" y="0"/>
                      <wp:lineTo x="0" y="21509"/>
                      <wp:lineTo x="21528" y="21509"/>
                      <wp:lineTo x="21528" y="0"/>
                      <wp:lineTo x="0" y="0"/>
                    </wp:wrapPolygon>
                  </wp:wrapTight>
                  <wp:docPr id="1044" name="Image 13" descr="C:\Users\HP\Desktop\DOSSIER PDIC-GAMOWIGNA\Photos_TIEBELE\IMG_20210708_093434_4.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13"/>
                          <pic:cNvPicPr/>
                        </pic:nvPicPr>
                        <pic:blipFill>
                          <a:blip r:embed="rId19" cstate="print"/>
                          <a:srcRect l="0" t="0" r="0" b="0"/>
                          <a:stretch/>
                        </pic:blipFill>
                        <pic:spPr>
                          <a:xfrm rot="0">
                            <a:off x="0" y="0"/>
                            <a:ext cx="4014047" cy="2257901"/>
                          </a:xfrm>
                          <a:prstGeom prst="rect"/>
                          <a:ln>
                            <a:noFill/>
                          </a:ln>
                        </pic:spPr>
                      </pic:pic>
                    </a:graphicData>
                  </a:graphic>
                  <wp14:sizeRelH relativeFrom="page">
                    <wp14:pctWidth>0</wp14:pctWidth>
                  </wp14:sizeRelH>
                  <wp14:sizeRelV relativeFrom="page">
                    <wp14:pctHeight>0</wp14:pctHeight>
                  </wp14:sizeRelV>
                </wp:anchor>
              </w:drawing>
            </w:r>
          </w:p>
        </w:tc>
      </w:tr>
      <w:tr>
        <w:tblPrEx/>
        <w:trPr/>
        <w:tc>
          <w:tcPr>
            <w:tcW w:w="2859" w:type="dxa"/>
            <w:tcBorders/>
            <w:vAlign w:val="center"/>
          </w:tcPr>
          <w:p>
            <w:pPr>
              <w:pStyle w:val="style0"/>
              <w:tabs>
                <w:tab w:val="left" w:leader="none" w:pos="9214"/>
                <w:tab w:val="left" w:leader="none" w:pos="9639"/>
              </w:tabs>
              <w:jc w:val="center"/>
              <w:rPr>
                <w:rFonts w:ascii="Century Gothic" w:hAnsi="Century Gothic"/>
              </w:rPr>
            </w:pPr>
            <w:r>
              <w:rPr>
                <w:rFonts w:ascii="Century Gothic" w:hAnsi="Century Gothic"/>
              </w:rPr>
              <w:t>Visite des espaces de conservation lors de la mission exploratoire</w:t>
            </w:r>
          </w:p>
        </w:tc>
        <w:tc>
          <w:tcPr>
            <w:tcW w:w="6783" w:type="dxa"/>
            <w:tcBorders/>
          </w:tcPr>
          <w:p>
            <w:pPr>
              <w:pStyle w:val="style0"/>
              <w:tabs>
                <w:tab w:val="left" w:leader="none" w:pos="9214"/>
                <w:tab w:val="left" w:leader="none" w:pos="9639"/>
              </w:tabs>
              <w:rPr>
                <w:rFonts w:ascii="Century Gothic" w:hAnsi="Century Gothic"/>
              </w:rPr>
            </w:pPr>
            <w:r>
              <w:rPr>
                <w:rFonts w:ascii="Century Gothic" w:eastAsia="Calibri" w:hAnsi="Century Gothic"/>
                <w:noProof/>
              </w:rPr>
              <w:drawing>
                <wp:inline distL="0" distT="0" distB="0" distR="0">
                  <wp:extent cx="3947160" cy="2339340"/>
                  <wp:effectExtent l="0" t="0" r="0" b="3810"/>
                  <wp:docPr id="1045" name="Image 14" descr="IMG_20210708_134354_55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14"/>
                          <pic:cNvPicPr/>
                        </pic:nvPicPr>
                        <pic:blipFill>
                          <a:blip r:embed="rId12" cstate="print"/>
                          <a:srcRect l="0" t="0" r="0" b="0"/>
                          <a:stretch/>
                        </pic:blipFill>
                        <pic:spPr>
                          <a:xfrm rot="0">
                            <a:off x="0" y="0"/>
                            <a:ext cx="3947160" cy="2339340"/>
                          </a:xfrm>
                          <a:prstGeom prst="rect"/>
                          <a:ln>
                            <a:noFill/>
                          </a:ln>
                        </pic:spPr>
                      </pic:pic>
                    </a:graphicData>
                  </a:graphic>
                </wp:inline>
              </w:drawing>
            </w:r>
          </w:p>
        </w:tc>
      </w:tr>
      <w:tr>
        <w:tblPrEx/>
        <w:trPr/>
        <w:tc>
          <w:tcPr>
            <w:tcW w:w="2859" w:type="dxa"/>
            <w:tcBorders/>
            <w:vAlign w:val="center"/>
          </w:tcPr>
          <w:p>
            <w:pPr>
              <w:pStyle w:val="style0"/>
              <w:tabs>
                <w:tab w:val="left" w:leader="none" w:pos="9214"/>
                <w:tab w:val="left" w:leader="none" w:pos="9639"/>
              </w:tabs>
              <w:jc w:val="center"/>
              <w:rPr>
                <w:rFonts w:ascii="Century Gothic" w:hAnsi="Century Gothic"/>
              </w:rPr>
            </w:pPr>
            <w:r>
              <w:rPr>
                <w:rFonts w:ascii="Century Gothic" w:hAnsi="Century Gothic"/>
              </w:rPr>
              <w:t>Séance de travail lors de la mission d’investigation complémentaire</w:t>
            </w:r>
          </w:p>
        </w:tc>
        <w:tc>
          <w:tcPr>
            <w:tcW w:w="6783" w:type="dxa"/>
            <w:tcBorders/>
          </w:tcPr>
          <w:p>
            <w:pPr>
              <w:pStyle w:val="style0"/>
              <w:tabs>
                <w:tab w:val="left" w:leader="none" w:pos="9214"/>
                <w:tab w:val="left" w:leader="none" w:pos="9639"/>
              </w:tabs>
              <w:rPr>
                <w:rFonts w:ascii="Century Gothic" w:hAnsi="Century Gothic"/>
              </w:rPr>
            </w:pPr>
            <w:r>
              <w:rPr>
                <w:rFonts w:ascii="Century Gothic" w:hAnsi="Century Gothic"/>
                <w:noProof/>
              </w:rPr>
              <w:drawing>
                <wp:inline distL="0" distT="0" distB="0" distR="0">
                  <wp:extent cx="3870959" cy="2377440"/>
                  <wp:effectExtent l="0" t="0" r="0" b="3810"/>
                  <wp:docPr id="1046" name="Image 15" descr="C:\Users\HP\Desktop\DOSSIER PDIC-GAMOWIGNA\DOCUMENTS PDIC TIEBELE-ZECCO\Mission complementaires-Zecco-Tiebele\TIEBELE 21Aout2021\WhatsApp Image 2021-08-22 at 14.14.33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0" cstate="print"/>
                          <a:srcRect l="0" t="0" r="0" b="0"/>
                          <a:stretch/>
                        </pic:blipFill>
                        <pic:spPr>
                          <a:xfrm rot="0">
                            <a:off x="0" y="0"/>
                            <a:ext cx="3870959" cy="2377440"/>
                          </a:xfrm>
                          <a:prstGeom prst="rect"/>
                          <a:ln>
                            <a:noFill/>
                          </a:ln>
                        </pic:spPr>
                      </pic:pic>
                    </a:graphicData>
                  </a:graphic>
                </wp:inline>
              </w:drawing>
            </w:r>
          </w:p>
        </w:tc>
      </w:tr>
      <w:tr>
        <w:tblPrEx/>
        <w:trPr/>
        <w:tc>
          <w:tcPr>
            <w:tcW w:w="2859" w:type="dxa"/>
            <w:tcBorders/>
            <w:vAlign w:val="center"/>
          </w:tcPr>
          <w:p>
            <w:pPr>
              <w:pStyle w:val="style0"/>
              <w:tabs>
                <w:tab w:val="left" w:leader="none" w:pos="9214"/>
                <w:tab w:val="left" w:leader="none" w:pos="9639"/>
              </w:tabs>
              <w:jc w:val="center"/>
              <w:rPr>
                <w:rFonts w:ascii="Century Gothic" w:hAnsi="Century Gothic"/>
              </w:rPr>
            </w:pPr>
            <w:r>
              <w:rPr>
                <w:rFonts w:ascii="Century Gothic" w:hAnsi="Century Gothic"/>
              </w:rPr>
              <w:t>Atelier technique restitution du PDIC/REDD+</w:t>
            </w:r>
          </w:p>
        </w:tc>
        <w:tc>
          <w:tcPr>
            <w:tcW w:w="6783" w:type="dxa"/>
            <w:tcBorders/>
            <w:vAlign w:val="center"/>
          </w:tcPr>
          <w:p>
            <w:pPr>
              <w:pStyle w:val="style0"/>
              <w:tabs>
                <w:tab w:val="left" w:leader="none" w:pos="9214"/>
                <w:tab w:val="left" w:leader="none" w:pos="9639"/>
              </w:tabs>
              <w:jc w:val="center"/>
              <w:rPr>
                <w:rFonts w:ascii="Century Gothic" w:hAnsi="Century Gothic"/>
              </w:rPr>
            </w:pPr>
            <w:r>
              <w:rPr>
                <w:rFonts w:ascii="Century Gothic" w:hAnsi="Century Gothic"/>
              </w:rPr>
              <w:t>PM</w:t>
            </w:r>
          </w:p>
        </w:tc>
      </w:tr>
      <w:tr>
        <w:tblPrEx/>
        <w:trPr/>
        <w:tc>
          <w:tcPr>
            <w:tcW w:w="2859" w:type="dxa"/>
            <w:tcBorders/>
            <w:vAlign w:val="center"/>
          </w:tcPr>
          <w:p>
            <w:pPr>
              <w:pStyle w:val="style0"/>
              <w:tabs>
                <w:tab w:val="left" w:leader="none" w:pos="9214"/>
                <w:tab w:val="left" w:leader="none" w:pos="9639"/>
              </w:tabs>
              <w:jc w:val="center"/>
              <w:rPr>
                <w:rFonts w:ascii="Century Gothic" w:hAnsi="Century Gothic"/>
              </w:rPr>
            </w:pPr>
            <w:r>
              <w:rPr>
                <w:rFonts w:ascii="Century Gothic" w:hAnsi="Century Gothic"/>
              </w:rPr>
              <w:t>Session du conseil municipal pour l’adoption du PDIC/REDD+</w:t>
            </w:r>
          </w:p>
        </w:tc>
        <w:tc>
          <w:tcPr>
            <w:tcW w:w="6783" w:type="dxa"/>
            <w:tcBorders/>
            <w:vAlign w:val="center"/>
          </w:tcPr>
          <w:p>
            <w:pPr>
              <w:pStyle w:val="style0"/>
              <w:tabs>
                <w:tab w:val="left" w:leader="none" w:pos="9214"/>
                <w:tab w:val="left" w:leader="none" w:pos="9639"/>
              </w:tabs>
              <w:jc w:val="center"/>
              <w:rPr>
                <w:rFonts w:ascii="Century Gothic" w:hAnsi="Century Gothic"/>
              </w:rPr>
            </w:pPr>
            <w:r>
              <w:rPr>
                <w:rFonts w:ascii="Century Gothic" w:hAnsi="Century Gothic"/>
              </w:rPr>
              <w:t>PM</w:t>
            </w:r>
          </w:p>
        </w:tc>
      </w:tr>
    </w:tbl>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p>
      <w:pPr>
        <w:pStyle w:val="style0"/>
        <w:tabs>
          <w:tab w:val="left" w:leader="none" w:pos="9214"/>
          <w:tab w:val="left" w:leader="none" w:pos="9639"/>
        </w:tabs>
        <w:rPr>
          <w:rFonts w:ascii="Century Gothic" w:hAnsi="Century Gothic"/>
        </w:rPr>
      </w:pPr>
    </w:p>
    <w:sectPr>
      <w:pgSz w:w="11920" w:h="16840" w:orient="portrait"/>
      <w:pgMar w:top="1134" w:right="1134" w:bottom="1134" w:left="1134" w:header="709" w:footer="709" w:gutter="0"/>
      <w:pgNumType w:fmt="upperRoman"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altName w:val="Garamond"/>
    <w:panose1 w:val="02020404030003010803"/>
    <w:charset w:val="00"/>
    <w:family w:val="roman"/>
    <w:pitch w:val="variable"/>
    <w:sig w:usb0="00000287" w:usb1="00000000" w:usb2="00000000" w:usb3="00000000" w:csb0="0000009F"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Arial">
    <w:altName w:val="Arial"/>
    <w:panose1 w:val="020b0604020002020204"/>
    <w:charset w:val="00"/>
    <w:family w:val="swiss"/>
    <w:pitch w:val="variable"/>
    <w:sig w:usb0="E0002EFF" w:usb1="C000785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 w:name="Arial Narrow">
    <w:altName w:val="Arial Narrow"/>
    <w:panose1 w:val="020b0606020002030204"/>
    <w:charset w:val="00"/>
    <w:family w:val="swiss"/>
    <w:pitch w:val="variable"/>
    <w:sig w:usb0="00000287" w:usb1="00000800" w:usb2="00000000" w:usb3="00000000" w:csb0="0000009F" w:csb1="00000000"/>
  </w:font>
  <w:font w:name="Tahoma">
    <w:altName w:val="Tahoma"/>
    <w:panose1 w:val="020b0604030005040204"/>
    <w:charset w:val="00"/>
    <w:family w:val="swiss"/>
    <w:pitch w:val="variable"/>
    <w:sig w:usb0="E1002EFF" w:usb1="C000605B" w:usb2="00000029" w:usb3="00000000" w:csb0="000101FF" w:csb1="00000000"/>
  </w:font>
  <w:font w:name="Century Gothic">
    <w:altName w:val="Century Gothic"/>
    <w:panose1 w:val="020b0502020002020204"/>
    <w:charset w:val="00"/>
    <w:family w:val="swiss"/>
    <w:pitch w:val="variable"/>
    <w:sig w:usb0="00000287" w:usb1="00000000" w:usb2="00000000" w:usb3="00000000" w:csb0="000000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p>
    <w:pPr>
      <w:pStyle w:val="style32"/>
      <w:jc w:val="center"/>
      <w:rPr/>
    </w:pPr>
    <w:r>
      <w:rPr/>
      <w:fldChar w:fldCharType="begin"/>
    </w:r>
    <w:r>
      <w:instrText>PAGE   \* MERGEFORMAT</w:instrText>
    </w:r>
    <w:r>
      <w:rPr/>
      <w:fldChar w:fldCharType="separate"/>
    </w:r>
    <w:r>
      <w:rPr>
        <w:noProof/>
      </w:rPr>
      <w:t>17</w:t>
    </w:r>
    <w:r>
      <w:rPr>
        <w:noProof/>
      </w:rPr>
      <w:fldChar w:fldCharType="end"/>
    </w:r>
  </w:p>
  <w:p>
    <w:pPr>
      <w:pStyle w:val="style0"/>
      <w:widowControl w:val="false"/>
      <w:autoSpaceDE w:val="false"/>
      <w:autoSpaceDN w:val="false"/>
      <w:adjustRightInd w:val="false"/>
      <w:rPr>
        <w:sz w:val="10"/>
        <w:szCs w:val="10"/>
      </w:rPr>
    </w:pPr>
  </w:p>
</w:ftr>
</file>

<file path=word/footnotes.xml><?xml version="1.0" encoding="utf-8"?>
<w:footnotes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footnote w:id="1">
    <w:p>
      <w:pPr>
        <w:pStyle w:val="style29"/>
        <w:rPr/>
      </w:pPr>
      <w:r>
        <w:rPr>
          <w:rStyle w:val="style38"/>
        </w:rPr>
        <w:footnoteRef/>
      </w:r>
      <w:r>
        <w:t xml:space="preserve"> </w:t>
      </w:r>
      <w:r>
        <w:rPr>
          <w:rFonts w:ascii="Century Gothic" w:hAnsi="Century Gothic"/>
          <w:sz w:val="16"/>
          <w:szCs w:val="16"/>
        </w:rPr>
        <w:t>1US$=</w:t>
      </w:r>
      <w:r>
        <w:rPr>
          <w:rStyle w:val="style4257"/>
          <w:rFonts w:ascii="Century Gothic" w:cs="Arial" w:hAnsi="Century Gothic"/>
          <w:color w:val="202124"/>
          <w:sz w:val="16"/>
          <w:szCs w:val="16"/>
          <w:shd w:val="clear" w:color="auto" w:fill="ffffff"/>
        </w:rPr>
        <w:t>552,48</w:t>
      </w:r>
      <w:r>
        <w:rPr>
          <w:rFonts w:ascii="Century Gothic" w:cs="Arial" w:hAnsi="Century Gothic"/>
          <w:color w:val="202124"/>
          <w:sz w:val="16"/>
          <w:szCs w:val="16"/>
          <w:shd w:val="clear" w:color="auto" w:fill="ffffff"/>
        </w:rPr>
        <w:t> </w:t>
      </w:r>
      <w:r>
        <w:rPr>
          <w:rStyle w:val="style4258"/>
          <w:rFonts w:ascii="Century Gothic" w:cs="Arial" w:hAnsi="Century Gothic"/>
          <w:color w:val="202124"/>
          <w:sz w:val="16"/>
          <w:szCs w:val="16"/>
          <w:shd w:val="clear" w:color="auto" w:fill="ffffff"/>
        </w:rPr>
        <w:t xml:space="preserve">Franc CFA </w:t>
      </w:r>
      <w:r>
        <w:rPr>
          <w:rStyle w:val="style4258"/>
          <w:rFonts w:ascii="Century Gothic" w:cs="Arial" w:hAnsi="Century Gothic"/>
          <w:color w:val="202124"/>
          <w:sz w:val="16"/>
          <w:szCs w:val="16"/>
          <w:shd w:val="clear" w:color="auto" w:fill="ffffff"/>
        </w:rPr>
        <w:t>cours du 03septembre 2021</w:t>
      </w:r>
    </w:p>
  </w:footnote>
  <w:footnote w:id="2">
    <w:p>
      <w:pPr>
        <w:pStyle w:val="style0"/>
        <w:jc w:val="both"/>
        <w:rPr>
          <w:rFonts w:ascii="Century Gothic" w:hAnsi="Century Gothic"/>
          <w:sz w:val="16"/>
          <w:szCs w:val="16"/>
        </w:rPr>
      </w:pPr>
      <w:r>
        <w:rPr>
          <w:rStyle w:val="style38"/>
          <w:rFonts w:ascii="Century Gothic" w:hAnsi="Century Gothic"/>
          <w:sz w:val="16"/>
          <w:szCs w:val="16"/>
        </w:rPr>
        <w:footnoteRef/>
      </w:r>
      <w:r>
        <w:rPr>
          <w:rFonts w:ascii="Century Gothic" w:hAnsi="Century Gothic"/>
          <w:sz w:val="16"/>
          <w:szCs w:val="16"/>
        </w:rPr>
        <w:t xml:space="preserve"> </w:t>
      </w:r>
      <w:r>
        <w:rPr>
          <w:rFonts w:ascii="Century Gothic" w:cs="Calibri" w:hAnsi="Century Gothic"/>
          <w:color w:val="000000"/>
          <w:sz w:val="16"/>
          <w:szCs w:val="16"/>
        </w:rPr>
        <w:t>Utilisation de la f</w:t>
      </w:r>
      <w:r>
        <w:rPr>
          <w:rFonts w:ascii="Century Gothic" w:cs="Calibri" w:hAnsi="Century Gothic"/>
          <w:color w:val="000000"/>
          <w:sz w:val="16"/>
          <w:szCs w:val="16"/>
        </w:rPr>
        <w:t>umure organique (93,75</w:t>
      </w:r>
      <w:r>
        <w:rPr>
          <w:rFonts w:ascii="Century Gothic" w:cs="Calibri" w:hAnsi="Century Gothic"/>
          <w:color w:val="000000"/>
          <w:sz w:val="16"/>
          <w:szCs w:val="16"/>
        </w:rPr>
        <w:t xml:space="preserve"> </w:t>
      </w:r>
      <w:r>
        <w:rPr>
          <w:rFonts w:ascii="Century Gothic" w:cs="Calibri" w:hAnsi="Century Gothic"/>
          <w:color w:val="000000"/>
          <w:sz w:val="16"/>
          <w:szCs w:val="16"/>
        </w:rPr>
        <w:t>hectares)</w:t>
      </w:r>
      <w:r>
        <w:rPr>
          <w:rFonts w:ascii="Century Gothic" w:cs="Calibri" w:hAnsi="Century Gothic"/>
          <w:color w:val="000000"/>
          <w:sz w:val="16"/>
          <w:szCs w:val="16"/>
        </w:rPr>
        <w:t>,</w:t>
      </w:r>
      <w:r>
        <w:rPr>
          <w:rFonts w:ascii="Century Gothic" w:cs="Calibri" w:hAnsi="Century Gothic"/>
          <w:color w:val="000000"/>
          <w:sz w:val="16"/>
          <w:szCs w:val="16"/>
        </w:rPr>
        <w:t xml:space="preserve"> Plantation</w:t>
      </w:r>
      <w:r>
        <w:rPr>
          <w:rFonts w:ascii="Century Gothic" w:cs="Calibri" w:hAnsi="Century Gothic"/>
          <w:color w:val="000000"/>
          <w:sz w:val="16"/>
          <w:szCs w:val="16"/>
        </w:rPr>
        <w:t>s</w:t>
      </w:r>
      <w:r>
        <w:rPr>
          <w:rFonts w:ascii="Century Gothic" w:cs="Calibri" w:hAnsi="Century Gothic"/>
          <w:color w:val="000000"/>
          <w:sz w:val="16"/>
          <w:szCs w:val="16"/>
        </w:rPr>
        <w:t xml:space="preserve"> individuelles (180</w:t>
      </w:r>
      <w:r>
        <w:rPr>
          <w:rFonts w:ascii="Century Gothic" w:cs="Calibri" w:hAnsi="Century Gothic"/>
          <w:color w:val="000000"/>
          <w:sz w:val="16"/>
          <w:szCs w:val="16"/>
        </w:rPr>
        <w:t xml:space="preserve"> </w:t>
      </w:r>
      <w:r>
        <w:rPr>
          <w:rFonts w:ascii="Century Gothic" w:cs="Calibri" w:hAnsi="Century Gothic"/>
          <w:color w:val="000000"/>
          <w:sz w:val="16"/>
          <w:szCs w:val="16"/>
        </w:rPr>
        <w:t>hectares)</w:t>
      </w:r>
      <w:r>
        <w:rPr>
          <w:rFonts w:ascii="Century Gothic" w:cs="Calibri" w:hAnsi="Century Gothic"/>
          <w:color w:val="000000"/>
          <w:sz w:val="16"/>
          <w:szCs w:val="16"/>
        </w:rPr>
        <w:t>,</w:t>
      </w:r>
      <w:r>
        <w:rPr>
          <w:rFonts w:ascii="Century Gothic" w:cs="Calibri" w:hAnsi="Century Gothic"/>
          <w:color w:val="000000"/>
          <w:sz w:val="16"/>
          <w:szCs w:val="16"/>
        </w:rPr>
        <w:t xml:space="preserve"> Forêts conservées </w:t>
      </w:r>
      <w:r>
        <w:rPr>
          <w:rFonts w:ascii="Century Gothic" w:cs="Calibri" w:hAnsi="Century Gothic"/>
          <w:color w:val="000000"/>
          <w:sz w:val="16"/>
          <w:szCs w:val="16"/>
        </w:rPr>
        <w:t xml:space="preserve"> (</w:t>
      </w:r>
      <w:r>
        <w:rPr>
          <w:rFonts w:ascii="Century Gothic" w:cs="Calibri" w:hAnsi="Century Gothic"/>
          <w:color w:val="000000"/>
          <w:sz w:val="16"/>
          <w:szCs w:val="16"/>
        </w:rPr>
        <w:t>490,86</w:t>
      </w:r>
      <w:r>
        <w:rPr>
          <w:rFonts w:ascii="Century Gothic" w:cs="Calibri" w:hAnsi="Century Gothic"/>
          <w:color w:val="000000"/>
          <w:sz w:val="16"/>
          <w:szCs w:val="16"/>
        </w:rPr>
        <w:t xml:space="preserve"> hectares)</w:t>
      </w:r>
    </w:p>
  </w:footnote>
  <w:footnote w:id="3">
    <w:p>
      <w:pPr>
        <w:pStyle w:val="style29"/>
        <w:rPr>
          <w:rFonts w:ascii="Century Gothic" w:hAnsi="Century Gothic"/>
        </w:rPr>
      </w:pPr>
      <w:r>
        <w:rPr>
          <w:rStyle w:val="style38"/>
          <w:rFonts w:ascii="Century Gothic" w:hAnsi="Century Gothic"/>
          <w:sz w:val="16"/>
          <w:szCs w:val="16"/>
        </w:rPr>
        <w:footnoteRef/>
      </w:r>
      <w:r>
        <w:rPr>
          <w:rFonts w:ascii="Century Gothic" w:hAnsi="Century Gothic"/>
          <w:sz w:val="16"/>
          <w:szCs w:val="16"/>
        </w:rPr>
        <w:t xml:space="preserve"> Confère tableau N° VII sur les bénéficiaires</w:t>
      </w:r>
    </w:p>
  </w:footnote>
  <w:footnote w:id="4">
    <w:p>
      <w:pPr>
        <w:pStyle w:val="style29"/>
        <w:jc w:val="both"/>
        <w:rPr>
          <w:rFonts w:ascii="Century Gothic" w:hAnsi="Century Gothic"/>
          <w:sz w:val="18"/>
          <w:szCs w:val="18"/>
        </w:rPr>
      </w:pPr>
      <w:r>
        <w:rPr>
          <w:rStyle w:val="style38"/>
        </w:rPr>
        <w:footnoteRef/>
      </w:r>
      <w:r>
        <w:t xml:space="preserve"> </w:t>
      </w:r>
      <w:r>
        <w:rPr>
          <w:rFonts w:ascii="Century Gothic" w:hAnsi="Century Gothic"/>
          <w:sz w:val="18"/>
          <w:szCs w:val="18"/>
        </w:rPr>
        <w:t>Guide méthodologique pour la création des espaces de conservation par les collectivités territoriale (MECV, 2010)</w:t>
      </w:r>
    </w:p>
  </w:footnote>
  <w:footnote w:id="5">
    <w:p>
      <w:pPr>
        <w:pStyle w:val="style29"/>
        <w:rPr>
          <w:rFonts w:ascii="Century Gothic" w:hAnsi="Century Gothic"/>
          <w:sz w:val="16"/>
          <w:szCs w:val="16"/>
        </w:rPr>
      </w:pPr>
      <w:r>
        <w:rPr>
          <w:rStyle w:val="style38"/>
          <w:rFonts w:ascii="Century Gothic" w:hAnsi="Century Gothic"/>
          <w:sz w:val="16"/>
          <w:szCs w:val="16"/>
        </w:rPr>
        <w:footnoteRef/>
      </w:r>
      <w:r>
        <w:rPr>
          <w:rFonts w:ascii="Century Gothic" w:hAnsi="Century Gothic"/>
          <w:sz w:val="16"/>
          <w:szCs w:val="16"/>
        </w:rPr>
        <w:t xml:space="preserve"> Coopérative reconnue par récépissé 20-SC CA-0355-BF-RCSD-PNHR, Présidente madame IDOGO Asseta : 76339954 et Secrétaire Madame OUELE Leontine : 71930547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6CCAE6DE"/>
    <w:lvl w:ilvl="0" w:tplc="E0328A1E">
      <w:start w:val="1"/>
      <w:numFmt w:val="bullet"/>
      <w:lvlText w:val="-"/>
      <w:lvlJc w:val="left"/>
      <w:pPr>
        <w:ind w:left="720" w:hanging="360"/>
      </w:pPr>
      <w:rPr>
        <w:rFonts w:ascii="Garamond" w:hAnsi="Garamond"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C04A66A8"/>
    <w:lvl w:ilvl="0" w:tplc="E0328A1E">
      <w:start w:val="1"/>
      <w:numFmt w:val="bullet"/>
      <w:lvlText w:val="-"/>
      <w:lvlJc w:val="left"/>
      <w:pPr>
        <w:ind w:left="720" w:hanging="360"/>
      </w:pPr>
      <w:rPr>
        <w:rFonts w:ascii="Garamond" w:hAnsi="Garamond" w:hint="default"/>
      </w:rPr>
    </w:lvl>
    <w:lvl w:ilvl="1" w:tplc="040C0003">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901ACD12"/>
    <w:lvl w:ilvl="0" w:tplc="E0328A1E">
      <w:start w:val="1"/>
      <w:numFmt w:val="bullet"/>
      <w:lvlText w:val="-"/>
      <w:lvlJc w:val="left"/>
      <w:pPr>
        <w:ind w:left="426" w:hanging="360"/>
      </w:pPr>
      <w:rPr>
        <w:rFonts w:ascii="Garamond" w:hAnsi="Garamond" w:hint="default"/>
      </w:rPr>
    </w:lvl>
    <w:lvl w:ilvl="1" w:tplc="040C0003" w:tentative="1">
      <w:start w:val="1"/>
      <w:numFmt w:val="bullet"/>
      <w:lvlText w:val="o"/>
      <w:lvlJc w:val="left"/>
      <w:pPr>
        <w:ind w:left="1146" w:hanging="360"/>
      </w:pPr>
      <w:rPr>
        <w:rFonts w:ascii="Courier New" w:cs="Courier New" w:hAnsi="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cs="Courier New" w:hAnsi="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cs="Courier New" w:hAnsi="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3">
    <w:nsid w:val="00000003"/>
    <w:multiLevelType w:val="multilevel"/>
    <w:tmpl w:val="BE289322"/>
    <w:lvl w:ilvl="0">
      <w:start w:val="1"/>
      <w:numFmt w:val="decimal"/>
      <w:pStyle w:val="style1"/>
      <w:lvlText w:val="%1"/>
      <w:lvlJc w:val="left"/>
      <w:pPr>
        <w:tabs>
          <w:tab w:val="left" w:leader="none" w:pos="432"/>
        </w:tabs>
        <w:ind w:left="432" w:hanging="432"/>
      </w:pPr>
    </w:lvl>
    <w:lvl w:ilvl="1">
      <w:start w:val="1"/>
      <w:numFmt w:val="decimal"/>
      <w:pStyle w:val="style2"/>
      <w:lvlText w:val="%1.%2"/>
      <w:lvlJc w:val="left"/>
      <w:pPr>
        <w:tabs>
          <w:tab w:val="left" w:leader="none" w:pos="576"/>
        </w:tabs>
        <w:ind w:left="576" w:hanging="576"/>
      </w:pPr>
    </w:lvl>
    <w:lvl w:ilvl="2">
      <w:start w:val="1"/>
      <w:numFmt w:val="decimal"/>
      <w:pStyle w:val="style3"/>
      <w:lvlText w:val="%1.%2.%3"/>
      <w:lvlJc w:val="left"/>
      <w:pPr>
        <w:tabs>
          <w:tab w:val="left" w:leader="none" w:pos="720"/>
        </w:tabs>
        <w:ind w:left="720" w:hanging="720"/>
      </w:pPr>
      <w:rPr>
        <w:lang w:val="fr-FR"/>
      </w:rPr>
    </w:lvl>
    <w:lvl w:ilvl="3">
      <w:start w:val="1"/>
      <w:numFmt w:val="decimal"/>
      <w:pStyle w:val="style4"/>
      <w:lvlText w:val="%1.%2.%3.%4"/>
      <w:lvlJc w:val="left"/>
      <w:pPr>
        <w:tabs>
          <w:tab w:val="left" w:leader="none" w:pos="864"/>
        </w:tabs>
        <w:ind w:left="864" w:hanging="864"/>
      </w:pPr>
    </w:lvl>
    <w:lvl w:ilvl="4">
      <w:start w:val="1"/>
      <w:numFmt w:val="decimal"/>
      <w:pStyle w:val="style5"/>
      <w:lvlText w:val="%1.%2.%3.%4.%5"/>
      <w:lvlJc w:val="left"/>
      <w:pPr>
        <w:tabs>
          <w:tab w:val="left" w:leader="none" w:pos="1008"/>
        </w:tabs>
        <w:ind w:left="1008" w:hanging="1008"/>
      </w:pPr>
    </w:lvl>
    <w:lvl w:ilvl="5">
      <w:start w:val="1"/>
      <w:numFmt w:val="decimal"/>
      <w:lvlText w:val="%1.%2.%3.%4.%5.%6"/>
      <w:lvlJc w:val="left"/>
      <w:pPr>
        <w:tabs>
          <w:tab w:val="left" w:leader="none" w:pos="1152"/>
        </w:tabs>
        <w:ind w:left="1152" w:hanging="1152"/>
      </w:pPr>
    </w:lvl>
    <w:lvl w:ilvl="6">
      <w:start w:val="1"/>
      <w:numFmt w:val="decimal"/>
      <w:pStyle w:val="style7"/>
      <w:lvlText w:val="%1.%2.%3.%4.%5.%6.%7"/>
      <w:lvlJc w:val="left"/>
      <w:pPr>
        <w:tabs>
          <w:tab w:val="left" w:leader="none" w:pos="1296"/>
        </w:tabs>
        <w:ind w:left="1296" w:hanging="1296"/>
      </w:pPr>
    </w:lvl>
    <w:lvl w:ilvl="7">
      <w:start w:val="1"/>
      <w:numFmt w:val="decimal"/>
      <w:lvlText w:val="%1.%2.%3.%4.%5.%6.%7.%8"/>
      <w:lvlJc w:val="left"/>
      <w:pPr>
        <w:tabs>
          <w:tab w:val="left" w:leader="none" w:pos="1440"/>
        </w:tabs>
        <w:ind w:left="1440" w:hanging="1440"/>
      </w:pPr>
    </w:lvl>
    <w:lvl w:ilvl="8">
      <w:start w:val="1"/>
      <w:numFmt w:val="decimal"/>
      <w:pStyle w:val="style9"/>
      <w:lvlText w:val="%1.%2.%3.%4.%5.%6.%7.%8.%9"/>
      <w:lvlJc w:val="left"/>
      <w:pPr>
        <w:tabs>
          <w:tab w:val="left" w:leader="none" w:pos="1584"/>
        </w:tabs>
        <w:ind w:left="1584" w:hanging="1584"/>
      </w:pPr>
    </w:lvl>
  </w:abstractNum>
  <w:abstractNum w:abstractNumId="4">
    <w:nsid w:val="00000004"/>
    <w:multiLevelType w:val="hybridMultilevel"/>
    <w:tmpl w:val="A4E0C136"/>
    <w:lvl w:ilvl="0" w:tplc="E0328A1E">
      <w:start w:val="1"/>
      <w:numFmt w:val="bullet"/>
      <w:lvlText w:val="-"/>
      <w:lvlJc w:val="left"/>
      <w:pPr>
        <w:ind w:left="720" w:hanging="360"/>
      </w:pPr>
      <w:rPr>
        <w:rFonts w:ascii="Garamond" w:hAnsi="Garamond"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3DE008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DEDA035C"/>
    <w:lvl w:ilvl="0" w:tplc="DAAEEF04">
      <w:start w:val="1"/>
      <w:numFmt w:val="bullet"/>
      <w:lvlText w:val="-"/>
      <w:lvlJc w:val="left"/>
      <w:pPr>
        <w:ind w:left="720" w:hanging="360"/>
      </w:pPr>
      <w:rPr>
        <w:rFonts w:ascii="Calibri" w:cs="Calibri" w:eastAsia="Calibri" w:hAnsi="Calibri"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49AE2602"/>
    <w:lvl w:ilvl="0" w:tplc="E0328A1E">
      <w:start w:val="1"/>
      <w:numFmt w:val="bullet"/>
      <w:lvlText w:val="-"/>
      <w:lvlJc w:val="left"/>
      <w:pPr>
        <w:ind w:left="1080" w:hanging="360"/>
      </w:pPr>
      <w:rPr>
        <w:rFonts w:ascii="Garamond" w:hAnsi="Garamond" w:hint="default"/>
      </w:rPr>
    </w:lvl>
    <w:lvl w:ilvl="1" w:tplc="040C0003" w:tentative="1">
      <w:start w:val="1"/>
      <w:numFmt w:val="bullet"/>
      <w:lvlText w:val="o"/>
      <w:lvlJc w:val="left"/>
      <w:pPr>
        <w:ind w:left="1800" w:hanging="360"/>
      </w:pPr>
      <w:rPr>
        <w:rFonts w:ascii="Courier New" w:cs="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cs="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cs="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00000008"/>
    <w:multiLevelType w:val="hybridMultilevel"/>
    <w:tmpl w:val="0C323E74"/>
    <w:lvl w:ilvl="0" w:tplc="E0328A1E">
      <w:start w:val="1"/>
      <w:numFmt w:val="bullet"/>
      <w:lvlText w:val="-"/>
      <w:lvlJc w:val="left"/>
      <w:pPr>
        <w:ind w:left="360" w:hanging="360"/>
      </w:pPr>
      <w:rPr>
        <w:rFonts w:ascii="Garamond" w:hAnsi="Garamond" w:hint="default"/>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00000009"/>
    <w:multiLevelType w:val="hybridMultilevel"/>
    <w:tmpl w:val="26BC6370"/>
    <w:lvl w:ilvl="0" w:tplc="E0328A1E">
      <w:start w:val="1"/>
      <w:numFmt w:val="bullet"/>
      <w:lvlText w:val="-"/>
      <w:lvlJc w:val="left"/>
      <w:pPr>
        <w:ind w:left="720" w:hanging="360"/>
      </w:pPr>
      <w:rPr>
        <w:rFonts w:ascii="Garamond" w:hAnsi="Garamond" w:hint="default"/>
      </w:rPr>
    </w:lvl>
    <w:lvl w:ilvl="1" w:tplc="040C0003" w:tentative="1">
      <w:start w:val="1"/>
      <w:numFmt w:val="bullet"/>
      <w:lvlText w:val="o"/>
      <w:lvlJc w:val="left"/>
      <w:pPr>
        <w:ind w:left="1440" w:hanging="360"/>
      </w:pPr>
      <w:rPr>
        <w:rFonts w:ascii="Courier New" w:cs="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cs="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cs="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D3FCF5FC"/>
    <w:lvl w:ilvl="0" w:tplc="E0328A1E">
      <w:start w:val="1"/>
      <w:numFmt w:val="bullet"/>
      <w:lvlText w:val="-"/>
      <w:lvlJc w:val="left"/>
      <w:pPr>
        <w:ind w:left="360" w:hanging="360"/>
      </w:pPr>
      <w:rPr>
        <w:rFonts w:ascii="Garamond" w:hAnsi="Garamond" w:hint="default"/>
      </w:rPr>
    </w:lvl>
    <w:lvl w:ilvl="1" w:tplc="040C0003" w:tentative="1">
      <w:start w:val="1"/>
      <w:numFmt w:val="bullet"/>
      <w:lvlText w:val="o"/>
      <w:lvlJc w:val="left"/>
      <w:pPr>
        <w:ind w:left="1080" w:hanging="360"/>
      </w:pPr>
      <w:rPr>
        <w:rFonts w:ascii="Courier New" w:cs="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cs="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cs="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9"/>
  </w:num>
  <w:num w:numId="4">
    <w:abstractNumId w:val="4"/>
  </w:num>
  <w:num w:numId="5">
    <w:abstractNumId w:val="0"/>
  </w:num>
  <w:num w:numId="6">
    <w:abstractNumId w:val="10"/>
  </w:num>
  <w:num w:numId="7">
    <w:abstractNumId w:val="6"/>
  </w:num>
  <w:num w:numId="8">
    <w:abstractNumId w:val="7"/>
  </w:num>
  <w:num w:numId="9">
    <w:abstractNumId w:val="3"/>
  </w:num>
  <w:num w:numId="10">
    <w:abstractNumId w:val="3"/>
  </w:num>
  <w:num w:numId="11">
    <w:abstractNumId w:val="3"/>
  </w:num>
  <w:num w:numId="12">
    <w:abstractNumId w:val="3"/>
  </w:num>
  <w:num w:numId="13">
    <w:abstractNumId w:val="3"/>
  </w:num>
  <w:num w:numId="14">
    <w:abstractNumId w:val="5"/>
  </w:num>
  <w:num w:numId="15">
    <w:abstractNumId w:val="1"/>
  </w:num>
  <w:num w:numId="16">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1"/>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fr-FR" w:bidi="ar-SA" w:eastAsia="en-US"/>
      </w:rPr>
    </w:rPrDefault>
    <w:pPrDefault>
      <w:pPr>
        <w:spacing w:after="160" w:lineRule="auto" w:line="259"/>
      </w:pPr>
    </w:pPrDefault>
  </w:docDefaults>
  <w:style w:type="paragraph" w:default="1" w:styleId="style0">
    <w:name w:val="Normal"/>
    <w:next w:val="style0"/>
    <w:qFormat/>
    <w:pPr>
      <w:spacing w:after="0" w:lineRule="auto" w:line="240"/>
    </w:pPr>
    <w:rPr>
      <w:rFonts w:ascii="Times New Roman" w:cs="Times New Roman" w:eastAsia="Times New Roman" w:hAnsi="Times New Roman"/>
      <w:sz w:val="24"/>
      <w:szCs w:val="24"/>
      <w:lang w:eastAsia="fr-FR"/>
    </w:rPr>
  </w:style>
  <w:style w:type="paragraph" w:styleId="style1">
    <w:name w:val="heading 1"/>
    <w:basedOn w:val="style0"/>
    <w:next w:val="style0"/>
    <w:link w:val="style4097"/>
    <w:qFormat/>
    <w:uiPriority w:val="9"/>
    <w:pPr>
      <w:keepNext/>
      <w:numPr>
        <w:ilvl w:val="0"/>
        <w:numId w:val="1"/>
      </w:numPr>
      <w:spacing w:before="240" w:after="60"/>
      <w:outlineLvl w:val="0"/>
    </w:pPr>
    <w:rPr>
      <w:rFonts w:ascii="Arial" w:hAnsi="Arial"/>
      <w:b/>
      <w:bCs/>
      <w:smallCaps/>
      <w:kern w:val="32"/>
      <w:sz w:val="32"/>
      <w:szCs w:val="32"/>
      <w:u w:val="double"/>
    </w:rPr>
  </w:style>
  <w:style w:type="paragraph" w:styleId="style2">
    <w:name w:val="heading 2"/>
    <w:basedOn w:val="style0"/>
    <w:next w:val="style0"/>
    <w:link w:val="style4098"/>
    <w:qFormat/>
    <w:uiPriority w:val="9"/>
    <w:pPr>
      <w:keepNext/>
      <w:numPr>
        <w:ilvl w:val="1"/>
        <w:numId w:val="1"/>
      </w:numPr>
      <w:outlineLvl w:val="1"/>
    </w:pPr>
    <w:rPr>
      <w:rFonts w:ascii="Arial" w:hAnsi="Arial"/>
      <w:b/>
      <w:bCs/>
      <w:iCs/>
      <w:szCs w:val="28"/>
    </w:rPr>
  </w:style>
  <w:style w:type="paragraph" w:styleId="style3">
    <w:name w:val="heading 3"/>
    <w:basedOn w:val="style0"/>
    <w:next w:val="style0"/>
    <w:link w:val="style4099"/>
    <w:qFormat/>
    <w:pPr>
      <w:keepNext/>
      <w:numPr>
        <w:ilvl w:val="2"/>
        <w:numId w:val="1"/>
      </w:numPr>
      <w:outlineLvl w:val="2"/>
    </w:pPr>
    <w:rPr>
      <w:rFonts w:ascii="Arial" w:hAnsi="Arial"/>
      <w:b/>
      <w:bCs/>
      <w:i/>
      <w:szCs w:val="26"/>
    </w:rPr>
  </w:style>
  <w:style w:type="paragraph" w:styleId="style4">
    <w:name w:val="heading 4"/>
    <w:basedOn w:val="style0"/>
    <w:next w:val="style0"/>
    <w:link w:val="style4100"/>
    <w:qFormat/>
    <w:uiPriority w:val="9"/>
    <w:pPr>
      <w:keepNext/>
      <w:numPr>
        <w:ilvl w:val="3"/>
        <w:numId w:val="1"/>
      </w:numPr>
      <w:tabs>
        <w:tab w:val="clear" w:pos="864"/>
      </w:tabs>
      <w:ind w:left="0" w:firstLine="0"/>
      <w:jc w:val="center"/>
      <w:outlineLvl w:val="3"/>
    </w:pPr>
    <w:rPr>
      <w:rFonts w:ascii="Arial" w:hAnsi="Arial"/>
      <w:b/>
      <w:bCs/>
      <w:u w:val="single"/>
    </w:rPr>
  </w:style>
  <w:style w:type="paragraph" w:styleId="style5">
    <w:name w:val="heading 5"/>
    <w:basedOn w:val="style0"/>
    <w:next w:val="style0"/>
    <w:link w:val="style4101"/>
    <w:qFormat/>
    <w:pPr>
      <w:keepNext/>
      <w:numPr>
        <w:ilvl w:val="4"/>
        <w:numId w:val="1"/>
      </w:numPr>
      <w:tabs>
        <w:tab w:val="clear" w:pos="1008"/>
      </w:tabs>
      <w:ind w:left="900" w:firstLine="0"/>
      <w:outlineLvl w:val="4"/>
    </w:pPr>
    <w:rPr>
      <w:rFonts w:ascii="Arial" w:hAnsi="Arial"/>
      <w:u w:val="single"/>
    </w:rPr>
  </w:style>
  <w:style w:type="paragraph" w:styleId="style7">
    <w:name w:val="heading 7"/>
    <w:basedOn w:val="style0"/>
    <w:next w:val="style0"/>
    <w:link w:val="style4102"/>
    <w:qFormat/>
    <w:pPr>
      <w:keepNext/>
      <w:numPr>
        <w:ilvl w:val="6"/>
        <w:numId w:val="1"/>
      </w:numPr>
      <w:tabs>
        <w:tab w:val="clear" w:pos="1296"/>
      </w:tabs>
      <w:ind w:left="851" w:firstLine="0"/>
      <w:jc w:val="center"/>
      <w:outlineLvl w:val="6"/>
    </w:pPr>
    <w:rPr>
      <w:rFonts w:ascii="Arial" w:hAnsi="Arial"/>
      <w:b/>
      <w:u w:val="single"/>
    </w:rPr>
  </w:style>
  <w:style w:type="paragraph" w:styleId="style8">
    <w:name w:val="heading 8"/>
    <w:basedOn w:val="style0"/>
    <w:next w:val="style0"/>
    <w:link w:val="style4103"/>
    <w:qFormat/>
    <w:pPr>
      <w:keepNext/>
      <w:keepLines/>
      <w:spacing w:before="200"/>
      <w:outlineLvl w:val="7"/>
    </w:pPr>
    <w:rPr>
      <w:rFonts w:ascii="Calibri Light" w:hAnsi="Calibri Light"/>
      <w:color w:val="404040"/>
      <w:sz w:val="20"/>
      <w:szCs w:val="20"/>
    </w:rPr>
  </w:style>
  <w:style w:type="paragraph" w:styleId="style9">
    <w:name w:val="heading 9"/>
    <w:basedOn w:val="style0"/>
    <w:next w:val="style0"/>
    <w:link w:val="style4104"/>
    <w:qFormat/>
    <w:pPr>
      <w:keepNext/>
      <w:numPr>
        <w:ilvl w:val="8"/>
        <w:numId w:val="1"/>
      </w:numPr>
      <w:tabs>
        <w:tab w:val="clear" w:pos="1584"/>
      </w:tabs>
      <w:ind w:left="360" w:firstLine="0"/>
      <w:jc w:val="center"/>
      <w:outlineLvl w:val="8"/>
    </w:pPr>
    <w:rPr>
      <w:rFonts w:ascii="Arial" w:hAnsi="Arial"/>
      <w:b/>
      <w:bCs/>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Titre 1 Car"/>
    <w:basedOn w:val="style65"/>
    <w:next w:val="style4097"/>
    <w:link w:val="style1"/>
    <w:uiPriority w:val="9"/>
    <w:rPr>
      <w:rFonts w:ascii="Arial" w:cs="Times New Roman" w:eastAsia="Times New Roman" w:hAnsi="Arial"/>
      <w:b/>
      <w:bCs/>
      <w:smallCaps/>
      <w:kern w:val="32"/>
      <w:sz w:val="32"/>
      <w:szCs w:val="32"/>
      <w:u w:val="double"/>
      <w:lang w:eastAsia="fr-FR"/>
    </w:rPr>
  </w:style>
  <w:style w:type="character" w:customStyle="1" w:styleId="style4098">
    <w:name w:val="Titre 2 Car"/>
    <w:basedOn w:val="style65"/>
    <w:next w:val="style4098"/>
    <w:link w:val="style2"/>
    <w:uiPriority w:val="9"/>
    <w:rPr>
      <w:rFonts w:ascii="Arial" w:cs="Times New Roman" w:eastAsia="Times New Roman" w:hAnsi="Arial"/>
      <w:b/>
      <w:bCs/>
      <w:iCs/>
      <w:sz w:val="24"/>
      <w:szCs w:val="28"/>
      <w:lang w:eastAsia="fr-FR"/>
    </w:rPr>
  </w:style>
  <w:style w:type="character" w:customStyle="1" w:styleId="style4099">
    <w:name w:val="Titre 3 Car"/>
    <w:basedOn w:val="style65"/>
    <w:next w:val="style4099"/>
    <w:link w:val="style3"/>
    <w:uiPriority w:val="9"/>
    <w:rPr>
      <w:rFonts w:ascii="Arial" w:cs="Times New Roman" w:eastAsia="Times New Roman" w:hAnsi="Arial"/>
      <w:b/>
      <w:bCs/>
      <w:i/>
      <w:sz w:val="24"/>
      <w:szCs w:val="26"/>
      <w:lang w:eastAsia="fr-FR"/>
    </w:rPr>
  </w:style>
  <w:style w:type="character" w:customStyle="1" w:styleId="style4100">
    <w:name w:val="Titre 4 Car"/>
    <w:basedOn w:val="style65"/>
    <w:next w:val="style4100"/>
    <w:link w:val="style4"/>
    <w:rPr>
      <w:rFonts w:ascii="Arial" w:cs="Times New Roman" w:eastAsia="Times New Roman" w:hAnsi="Arial"/>
      <w:b/>
      <w:bCs/>
      <w:sz w:val="24"/>
      <w:szCs w:val="24"/>
      <w:u w:val="single"/>
      <w:lang w:eastAsia="fr-FR"/>
    </w:rPr>
  </w:style>
  <w:style w:type="character" w:customStyle="1" w:styleId="style4101">
    <w:name w:val="Titre 5 Car"/>
    <w:basedOn w:val="style65"/>
    <w:next w:val="style4101"/>
    <w:link w:val="style5"/>
    <w:rPr>
      <w:rFonts w:ascii="Arial" w:cs="Times New Roman" w:eastAsia="Times New Roman" w:hAnsi="Arial"/>
      <w:sz w:val="24"/>
      <w:szCs w:val="24"/>
      <w:u w:val="single"/>
      <w:lang w:eastAsia="fr-FR"/>
    </w:rPr>
  </w:style>
  <w:style w:type="character" w:customStyle="1" w:styleId="style4102">
    <w:name w:val="Titre 7 Car"/>
    <w:basedOn w:val="style65"/>
    <w:next w:val="style4102"/>
    <w:link w:val="style7"/>
    <w:rPr>
      <w:rFonts w:ascii="Arial" w:cs="Times New Roman" w:eastAsia="Times New Roman" w:hAnsi="Arial"/>
      <w:b/>
      <w:sz w:val="24"/>
      <w:szCs w:val="24"/>
      <w:u w:val="single"/>
      <w:lang w:eastAsia="fr-FR"/>
    </w:rPr>
  </w:style>
  <w:style w:type="character" w:customStyle="1" w:styleId="style4103">
    <w:name w:val="Titre 8 Car"/>
    <w:basedOn w:val="style65"/>
    <w:next w:val="style4103"/>
    <w:link w:val="style8"/>
    <w:rPr>
      <w:rFonts w:ascii="Calibri Light" w:cs="Times New Roman" w:eastAsia="Times New Roman" w:hAnsi="Calibri Light"/>
      <w:color w:val="404040"/>
      <w:sz w:val="20"/>
      <w:szCs w:val="20"/>
      <w:lang w:eastAsia="fr-FR"/>
    </w:rPr>
  </w:style>
  <w:style w:type="character" w:customStyle="1" w:styleId="style4104">
    <w:name w:val="Titre 9 Car"/>
    <w:basedOn w:val="style65"/>
    <w:next w:val="style4104"/>
    <w:link w:val="style9"/>
    <w:rPr>
      <w:rFonts w:ascii="Arial" w:cs="Times New Roman" w:eastAsia="Times New Roman" w:hAnsi="Arial"/>
      <w:b/>
      <w:bCs/>
      <w:sz w:val="24"/>
      <w:szCs w:val="24"/>
      <w:lang w:eastAsia="fr-FR"/>
    </w:rPr>
  </w:style>
  <w:style w:type="paragraph" w:customStyle="1" w:styleId="style4105">
    <w:name w:val="Stile1"/>
    <w:basedOn w:val="style0"/>
    <w:next w:val="style4105"/>
    <w:pPr>
      <w:spacing w:after="120"/>
      <w:jc w:val="both"/>
    </w:pPr>
    <w:rPr>
      <w:rFonts w:ascii="Arial Narrow" w:hAnsi="Arial Narrow"/>
      <w:sz w:val="22"/>
      <w:szCs w:val="20"/>
      <w:lang w:val="it-IT"/>
    </w:rPr>
  </w:style>
  <w:style w:type="paragraph" w:styleId="style179">
    <w:name w:val="List Paragraph"/>
    <w:basedOn w:val="style0"/>
    <w:next w:val="style179"/>
    <w:link w:val="style4106"/>
    <w:qFormat/>
    <w:uiPriority w:val="34"/>
    <w:pPr>
      <w:ind w:left="720"/>
      <w:contextualSpacing/>
    </w:pPr>
    <w:rPr/>
  </w:style>
  <w:style w:type="character" w:customStyle="1" w:styleId="style4106">
    <w:name w:val="Paragraphe de liste Car"/>
    <w:next w:val="style4106"/>
    <w:link w:val="style179"/>
    <w:qFormat/>
    <w:uiPriority w:val="34"/>
    <w:rPr>
      <w:rFonts w:ascii="Times New Roman" w:cs="Times New Roman" w:eastAsia="Times New Roman" w:hAnsi="Times New Roman"/>
      <w:sz w:val="24"/>
      <w:szCs w:val="24"/>
      <w:lang w:eastAsia="fr-FR"/>
    </w:rPr>
  </w:style>
  <w:style w:type="paragraph" w:styleId="style153">
    <w:name w:val="Balloon Text"/>
    <w:basedOn w:val="style0"/>
    <w:next w:val="style153"/>
    <w:link w:val="style4107"/>
    <w:uiPriority w:val="99"/>
    <w:pPr/>
    <w:rPr>
      <w:rFonts w:ascii="Tahoma" w:hAnsi="Tahoma"/>
      <w:sz w:val="16"/>
      <w:szCs w:val="16"/>
    </w:rPr>
  </w:style>
  <w:style w:type="character" w:customStyle="1" w:styleId="style4107">
    <w:name w:val="Texte de bulles Car"/>
    <w:basedOn w:val="style65"/>
    <w:next w:val="style4107"/>
    <w:link w:val="style153"/>
    <w:uiPriority w:val="99"/>
    <w:rPr>
      <w:rFonts w:ascii="Tahoma" w:cs="Times New Roman" w:eastAsia="Times New Roman" w:hAnsi="Tahoma"/>
      <w:sz w:val="16"/>
      <w:szCs w:val="16"/>
      <w:lang w:eastAsia="fr-FR"/>
    </w:rPr>
  </w:style>
  <w:style w:type="character" w:styleId="style39">
    <w:name w:val="annotation reference"/>
    <w:next w:val="style39"/>
    <w:uiPriority w:val="99"/>
    <w:rPr>
      <w:sz w:val="16"/>
      <w:szCs w:val="16"/>
    </w:rPr>
  </w:style>
  <w:style w:type="paragraph" w:styleId="style30">
    <w:name w:val="annotation text"/>
    <w:basedOn w:val="style0"/>
    <w:next w:val="style30"/>
    <w:link w:val="style4108"/>
    <w:uiPriority w:val="99"/>
    <w:pPr/>
    <w:rPr>
      <w:sz w:val="20"/>
      <w:szCs w:val="20"/>
    </w:rPr>
  </w:style>
  <w:style w:type="character" w:customStyle="1" w:styleId="style4108">
    <w:name w:val="Commentaire Car"/>
    <w:basedOn w:val="style65"/>
    <w:next w:val="style4108"/>
    <w:link w:val="style30"/>
    <w:uiPriority w:val="99"/>
    <w:rPr>
      <w:rFonts w:ascii="Times New Roman" w:cs="Times New Roman" w:eastAsia="Times New Roman" w:hAnsi="Times New Roman"/>
      <w:sz w:val="20"/>
      <w:szCs w:val="20"/>
      <w:lang w:eastAsia="fr-FR"/>
    </w:rPr>
  </w:style>
  <w:style w:type="paragraph" w:styleId="style106">
    <w:name w:val="annotation subject"/>
    <w:basedOn w:val="style30"/>
    <w:next w:val="style30"/>
    <w:link w:val="style4109"/>
    <w:uiPriority w:val="99"/>
    <w:pPr/>
    <w:rPr>
      <w:b/>
      <w:bCs/>
    </w:rPr>
  </w:style>
  <w:style w:type="character" w:customStyle="1" w:styleId="style4109">
    <w:name w:val="Objet du commentaire Car"/>
    <w:basedOn w:val="style4108"/>
    <w:next w:val="style4109"/>
    <w:link w:val="style106"/>
    <w:uiPriority w:val="99"/>
    <w:rPr>
      <w:rFonts w:ascii="Times New Roman" w:cs="Times New Roman" w:eastAsia="Times New Roman" w:hAnsi="Times New Roman"/>
      <w:b/>
      <w:bCs/>
      <w:sz w:val="20"/>
      <w:szCs w:val="20"/>
      <w:lang w:eastAsia="fr-FR"/>
    </w:rPr>
  </w:style>
  <w:style w:type="character" w:customStyle="1" w:styleId="style4110">
    <w:name w:val="st"/>
    <w:next w:val="style4110"/>
  </w:style>
  <w:style w:type="paragraph" w:styleId="style66">
    <w:name w:val="Body Text"/>
    <w:basedOn w:val="style0"/>
    <w:next w:val="style66"/>
    <w:link w:val="style4111"/>
    <w:pPr>
      <w:jc w:val="both"/>
    </w:pPr>
    <w:rPr/>
  </w:style>
  <w:style w:type="character" w:customStyle="1" w:styleId="style4111">
    <w:name w:val="Corps de texte Car"/>
    <w:basedOn w:val="style65"/>
    <w:next w:val="style4111"/>
    <w:link w:val="style66"/>
    <w:rPr>
      <w:rFonts w:ascii="Times New Roman" w:cs="Times New Roman" w:eastAsia="Times New Roman" w:hAnsi="Times New Roman"/>
      <w:sz w:val="24"/>
      <w:szCs w:val="24"/>
      <w:lang w:eastAsia="fr-FR"/>
    </w:rPr>
  </w:style>
  <w:style w:type="paragraph" w:styleId="style90">
    <w:name w:val="Plain Text"/>
    <w:basedOn w:val="style0"/>
    <w:next w:val="style90"/>
    <w:link w:val="style4112"/>
    <w:pPr/>
    <w:rPr>
      <w:rFonts w:ascii="Courier New" w:hAnsi="Courier New"/>
      <w:color w:val="000000"/>
      <w:sz w:val="20"/>
      <w:szCs w:val="20"/>
    </w:rPr>
  </w:style>
  <w:style w:type="character" w:customStyle="1" w:styleId="style4112">
    <w:name w:val="Texte brut Car"/>
    <w:basedOn w:val="style65"/>
    <w:next w:val="style4112"/>
    <w:link w:val="style90"/>
    <w:rPr>
      <w:rFonts w:ascii="Courier New" w:cs="Times New Roman" w:eastAsia="Times New Roman" w:hAnsi="Courier New"/>
      <w:color w:val="000000"/>
      <w:sz w:val="20"/>
      <w:szCs w:val="20"/>
      <w:lang w:eastAsia="fr-FR"/>
    </w:rPr>
  </w:style>
  <w:style w:type="paragraph" w:styleId="style31">
    <w:name w:val="header"/>
    <w:basedOn w:val="style0"/>
    <w:next w:val="style31"/>
    <w:link w:val="style4113"/>
    <w:uiPriority w:val="99"/>
    <w:pPr>
      <w:tabs>
        <w:tab w:val="center" w:leader="none" w:pos="4536"/>
        <w:tab w:val="right" w:leader="none" w:pos="9072"/>
      </w:tabs>
    </w:pPr>
    <w:rPr/>
  </w:style>
  <w:style w:type="character" w:customStyle="1" w:styleId="style4113">
    <w:name w:val="En-tête Car"/>
    <w:basedOn w:val="style65"/>
    <w:next w:val="style4113"/>
    <w:link w:val="style31"/>
    <w:uiPriority w:val="99"/>
    <w:rPr>
      <w:rFonts w:ascii="Times New Roman" w:cs="Times New Roman" w:eastAsia="Times New Roman" w:hAnsi="Times New Roman"/>
      <w:sz w:val="24"/>
      <w:szCs w:val="24"/>
      <w:lang w:eastAsia="fr-FR"/>
    </w:rPr>
  </w:style>
  <w:style w:type="paragraph" w:styleId="style32">
    <w:name w:val="footer"/>
    <w:basedOn w:val="style0"/>
    <w:next w:val="style32"/>
    <w:link w:val="style4114"/>
    <w:uiPriority w:val="99"/>
    <w:pPr>
      <w:tabs>
        <w:tab w:val="center" w:leader="none" w:pos="4536"/>
        <w:tab w:val="right" w:leader="none" w:pos="9072"/>
      </w:tabs>
    </w:pPr>
    <w:rPr/>
  </w:style>
  <w:style w:type="character" w:customStyle="1" w:styleId="style4114">
    <w:name w:val="Pied de page Car"/>
    <w:basedOn w:val="style65"/>
    <w:next w:val="style4114"/>
    <w:link w:val="style32"/>
    <w:uiPriority w:val="99"/>
    <w:rPr>
      <w:rFonts w:ascii="Times New Roman" w:cs="Times New Roman" w:eastAsia="Times New Roman" w:hAnsi="Times New Roman"/>
      <w:sz w:val="24"/>
      <w:szCs w:val="24"/>
      <w:lang w:eastAsia="fr-FR"/>
    </w:rPr>
  </w:style>
  <w:style w:type="paragraph" w:customStyle="1" w:styleId="style4115">
    <w:name w:val="Default"/>
    <w:next w:val="style4115"/>
    <w:pPr>
      <w:autoSpaceDE w:val="false"/>
      <w:autoSpaceDN w:val="false"/>
      <w:adjustRightInd w:val="false"/>
      <w:spacing w:after="0" w:lineRule="auto" w:line="240"/>
    </w:pPr>
    <w:rPr>
      <w:rFonts w:ascii="Century Gothic" w:cs="Century Gothic" w:eastAsia="Calibri" w:hAnsi="Century Gothic"/>
      <w:color w:val="000000"/>
      <w:sz w:val="24"/>
      <w:szCs w:val="24"/>
    </w:rPr>
  </w:style>
  <w:style w:type="paragraph" w:styleId="style29">
    <w:name w:val="footnote text"/>
    <w:basedOn w:val="style0"/>
    <w:next w:val="style29"/>
    <w:link w:val="style4116"/>
    <w:qFormat/>
    <w:pPr/>
    <w:rPr>
      <w:sz w:val="20"/>
      <w:szCs w:val="20"/>
    </w:rPr>
  </w:style>
  <w:style w:type="character" w:customStyle="1" w:styleId="style4116">
    <w:name w:val="Note de bas de page Car"/>
    <w:basedOn w:val="style65"/>
    <w:next w:val="style4116"/>
    <w:link w:val="style29"/>
    <w:rPr>
      <w:rFonts w:ascii="Times New Roman" w:cs="Times New Roman" w:eastAsia="Times New Roman" w:hAnsi="Times New Roman"/>
      <w:sz w:val="20"/>
      <w:szCs w:val="20"/>
      <w:lang w:eastAsia="fr-FR"/>
    </w:rPr>
  </w:style>
  <w:style w:type="character" w:styleId="style38">
    <w:name w:val="footnote reference"/>
    <w:next w:val="style38"/>
    <w:rPr>
      <w:vertAlign w:val="superscript"/>
    </w:rPr>
  </w:style>
  <w:style w:type="paragraph" w:styleId="style266">
    <w:name w:val="TOC Heading"/>
    <w:basedOn w:val="style1"/>
    <w:next w:val="style0"/>
    <w:qFormat/>
    <w:uiPriority w:val="39"/>
    <w:pPr>
      <w:keepLines/>
      <w:numPr>
        <w:ilvl w:val="0"/>
        <w:numId w:val="0"/>
      </w:numPr>
      <w:spacing w:after="0" w:lineRule="auto" w:line="259"/>
      <w:outlineLvl w:val="9"/>
    </w:pPr>
    <w:rPr>
      <w:rFonts w:ascii="Calibri Light" w:cs="宋体" w:eastAsia="宋体" w:hAnsi="Calibri Light"/>
      <w:b w:val="false"/>
      <w:bCs w:val="false"/>
      <w:smallCaps w:val="false"/>
      <w:color w:val="2e74b5"/>
      <w:kern w:val="0"/>
      <w:u w:val="none"/>
    </w:rPr>
  </w:style>
  <w:style w:type="paragraph" w:styleId="style19">
    <w:name w:val="toc 1"/>
    <w:basedOn w:val="style0"/>
    <w:next w:val="style0"/>
    <w:uiPriority w:val="39"/>
    <w:pPr>
      <w:tabs>
        <w:tab w:val="right" w:leader="dot" w:pos="9642"/>
      </w:tabs>
    </w:pPr>
    <w:rPr>
      <w:rFonts w:ascii="Century Gothic" w:hAnsi="Century Gothic"/>
      <w:noProof/>
      <w:sz w:val="18"/>
      <w:szCs w:val="18"/>
    </w:rPr>
  </w:style>
  <w:style w:type="paragraph" w:styleId="style20">
    <w:name w:val="toc 2"/>
    <w:basedOn w:val="style0"/>
    <w:next w:val="style0"/>
    <w:uiPriority w:val="39"/>
    <w:pPr>
      <w:tabs>
        <w:tab w:val="right" w:leader="dot" w:pos="9642"/>
      </w:tabs>
    </w:pPr>
    <w:rPr/>
  </w:style>
  <w:style w:type="paragraph" w:styleId="style21">
    <w:name w:val="toc 3"/>
    <w:basedOn w:val="style0"/>
    <w:next w:val="style0"/>
    <w:uiPriority w:val="39"/>
    <w:pPr>
      <w:spacing w:after="100"/>
      <w:ind w:left="480"/>
    </w:pPr>
    <w:rPr/>
  </w:style>
  <w:style w:type="character" w:styleId="style85">
    <w:name w:val="Hyperlink"/>
    <w:basedOn w:val="style65"/>
    <w:next w:val="style85"/>
    <w:uiPriority w:val="99"/>
    <w:rPr>
      <w:color w:val="0563c1"/>
      <w:u w:val="single"/>
    </w:rPr>
  </w:style>
  <w:style w:type="paragraph" w:styleId="style34">
    <w:name w:val="caption"/>
    <w:basedOn w:val="style0"/>
    <w:next w:val="style0"/>
    <w:qFormat/>
    <w:uiPriority w:val="35"/>
    <w:pPr>
      <w:spacing w:after="200"/>
    </w:pPr>
    <w:rPr>
      <w:b/>
      <w:bCs/>
      <w:color w:val="5b9bd5"/>
      <w:sz w:val="18"/>
      <w:szCs w:val="18"/>
    </w:rPr>
  </w:style>
  <w:style w:type="paragraph" w:styleId="style80">
    <w:name w:val="Body Text 2"/>
    <w:basedOn w:val="style0"/>
    <w:next w:val="style80"/>
    <w:link w:val="style4117"/>
    <w:pPr>
      <w:jc w:val="both"/>
    </w:pPr>
    <w:rPr/>
  </w:style>
  <w:style w:type="character" w:customStyle="1" w:styleId="style4117">
    <w:name w:val="Corps de texte 2 Car"/>
    <w:basedOn w:val="style65"/>
    <w:next w:val="style4117"/>
    <w:link w:val="style80"/>
    <w:rPr>
      <w:rFonts w:ascii="Times New Roman" w:cs="Times New Roman" w:eastAsia="Times New Roman" w:hAnsi="Times New Roman"/>
      <w:sz w:val="24"/>
      <w:szCs w:val="24"/>
      <w:lang w:eastAsia="fr-FR"/>
    </w:rPr>
  </w:style>
  <w:style w:type="paragraph" w:styleId="style22">
    <w:name w:val="toc 4"/>
    <w:basedOn w:val="style0"/>
    <w:next w:val="style0"/>
    <w:uiPriority w:val="39"/>
    <w:pPr>
      <w:spacing w:lineRule="auto" w:line="276"/>
      <w:ind w:left="660"/>
    </w:pPr>
    <w:rPr>
      <w:rFonts w:ascii="Calibri" w:cs="Calibri" w:hAnsi="Calibri"/>
      <w:sz w:val="18"/>
      <w:szCs w:val="18"/>
    </w:rPr>
  </w:style>
  <w:style w:type="paragraph" w:styleId="style23">
    <w:name w:val="toc 5"/>
    <w:basedOn w:val="style0"/>
    <w:next w:val="style0"/>
    <w:uiPriority w:val="39"/>
    <w:pPr>
      <w:spacing w:lineRule="auto" w:line="276"/>
      <w:ind w:left="880"/>
    </w:pPr>
    <w:rPr>
      <w:rFonts w:ascii="Calibri" w:cs="Calibri" w:hAnsi="Calibri"/>
      <w:sz w:val="18"/>
      <w:szCs w:val="18"/>
    </w:rPr>
  </w:style>
  <w:style w:type="paragraph" w:styleId="style24">
    <w:name w:val="toc 6"/>
    <w:basedOn w:val="style0"/>
    <w:next w:val="style0"/>
    <w:uiPriority w:val="39"/>
    <w:pPr>
      <w:spacing w:lineRule="auto" w:line="276"/>
      <w:ind w:left="1100"/>
    </w:pPr>
    <w:rPr>
      <w:rFonts w:ascii="Calibri" w:cs="Calibri" w:hAnsi="Calibri"/>
      <w:sz w:val="18"/>
      <w:szCs w:val="18"/>
    </w:rPr>
  </w:style>
  <w:style w:type="paragraph" w:styleId="style25">
    <w:name w:val="toc 7"/>
    <w:basedOn w:val="style0"/>
    <w:next w:val="style0"/>
    <w:uiPriority w:val="39"/>
    <w:pPr>
      <w:spacing w:lineRule="auto" w:line="276"/>
      <w:ind w:left="1320"/>
    </w:pPr>
    <w:rPr>
      <w:rFonts w:ascii="Calibri" w:cs="Calibri" w:hAnsi="Calibri"/>
      <w:sz w:val="18"/>
      <w:szCs w:val="18"/>
    </w:rPr>
  </w:style>
  <w:style w:type="paragraph" w:styleId="style26">
    <w:name w:val="toc 8"/>
    <w:basedOn w:val="style0"/>
    <w:next w:val="style0"/>
    <w:uiPriority w:val="39"/>
    <w:pPr>
      <w:spacing w:lineRule="auto" w:line="276"/>
      <w:ind w:left="1540"/>
    </w:pPr>
    <w:rPr>
      <w:rFonts w:ascii="Calibri" w:cs="Calibri" w:hAnsi="Calibri"/>
      <w:sz w:val="18"/>
      <w:szCs w:val="18"/>
    </w:rPr>
  </w:style>
  <w:style w:type="paragraph" w:styleId="style27">
    <w:name w:val="toc 9"/>
    <w:basedOn w:val="style0"/>
    <w:next w:val="style0"/>
    <w:uiPriority w:val="39"/>
    <w:pPr>
      <w:spacing w:lineRule="auto" w:line="276"/>
      <w:ind w:left="1760"/>
    </w:pPr>
    <w:rPr>
      <w:rFonts w:ascii="Calibri" w:cs="Calibri" w:hAnsi="Calibri"/>
      <w:sz w:val="18"/>
      <w:szCs w:val="18"/>
    </w:rPr>
  </w:style>
  <w:style w:type="paragraph" w:customStyle="1" w:styleId="style4118">
    <w:name w:val="font5"/>
    <w:basedOn w:val="style0"/>
    <w:next w:val="style4118"/>
    <w:pPr>
      <w:spacing w:before="100" w:beforeAutospacing="true" w:after="100" w:afterAutospacing="true"/>
    </w:pPr>
    <w:rPr>
      <w:rFonts w:ascii="Century Gothic" w:hAnsi="Century Gothic"/>
      <w:b/>
      <w:bCs/>
      <w:sz w:val="20"/>
      <w:szCs w:val="20"/>
    </w:rPr>
  </w:style>
  <w:style w:type="paragraph" w:customStyle="1" w:styleId="style4119">
    <w:name w:val="font6"/>
    <w:basedOn w:val="style0"/>
    <w:next w:val="style4119"/>
    <w:pPr>
      <w:spacing w:before="100" w:beforeAutospacing="true" w:after="100" w:afterAutospacing="true"/>
    </w:pPr>
    <w:rPr>
      <w:rFonts w:ascii="Century Gothic" w:hAnsi="Century Gothic"/>
      <w:b/>
      <w:bCs/>
      <w:color w:val="000000"/>
      <w:sz w:val="20"/>
      <w:szCs w:val="20"/>
    </w:rPr>
  </w:style>
  <w:style w:type="paragraph" w:customStyle="1" w:styleId="style4120">
    <w:name w:val="xl65"/>
    <w:basedOn w:val="style0"/>
    <w:next w:val="style4120"/>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rPr>
  </w:style>
  <w:style w:type="paragraph" w:customStyle="1" w:styleId="style4121">
    <w:name w:val="xl66"/>
    <w:basedOn w:val="style0"/>
    <w:next w:val="style4121"/>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rPr>
  </w:style>
  <w:style w:type="paragraph" w:customStyle="1" w:styleId="style4122">
    <w:name w:val="xl67"/>
    <w:basedOn w:val="style0"/>
    <w:next w:val="style4122"/>
    <w:pPr>
      <w:spacing w:before="100" w:beforeAutospacing="true" w:after="100" w:afterAutospacing="true"/>
      <w:textAlignment w:val="center"/>
    </w:pPr>
    <w:rPr/>
  </w:style>
  <w:style w:type="paragraph" w:customStyle="1" w:styleId="style4123">
    <w:name w:val="xl68"/>
    <w:basedOn w:val="style0"/>
    <w:next w:val="style4123"/>
    <w:pPr>
      <w:spacing w:before="100" w:beforeAutospacing="true" w:after="100" w:afterAutospacing="true"/>
      <w:jc w:val="center"/>
      <w:textAlignment w:val="center"/>
    </w:pPr>
    <w:rPr/>
  </w:style>
  <w:style w:type="paragraph" w:customStyle="1" w:styleId="style4124">
    <w:name w:val="xl69"/>
    <w:basedOn w:val="style0"/>
    <w:next w:val="style4124"/>
    <w:pPr>
      <w:shd w:val="clear" w:color="000000" w:fill="ffffff"/>
      <w:spacing w:before="100" w:beforeAutospacing="true" w:after="100" w:afterAutospacing="true"/>
      <w:textAlignment w:val="center"/>
    </w:pPr>
    <w:rPr/>
  </w:style>
  <w:style w:type="paragraph" w:customStyle="1" w:styleId="style4125">
    <w:name w:val="xl70"/>
    <w:basedOn w:val="style0"/>
    <w:next w:val="style4125"/>
    <w:pPr>
      <w:spacing w:before="100" w:beforeAutospacing="true" w:after="100" w:afterAutospacing="true"/>
      <w:textAlignment w:val="center"/>
    </w:pPr>
    <w:rPr>
      <w:b/>
      <w:bCs/>
      <w:color w:val="ff0000"/>
    </w:rPr>
  </w:style>
  <w:style w:type="paragraph" w:customStyle="1" w:styleId="style4126">
    <w:name w:val="xl71"/>
    <w:basedOn w:val="style0"/>
    <w:next w:val="style4126"/>
    <w:pPr>
      <w:spacing w:before="100" w:beforeAutospacing="true" w:after="100" w:afterAutospacing="true"/>
      <w:textAlignment w:val="center"/>
    </w:pPr>
    <w:rPr>
      <w:i/>
      <w:iCs/>
    </w:rPr>
  </w:style>
  <w:style w:type="paragraph" w:customStyle="1" w:styleId="style4127">
    <w:name w:val="xl72"/>
    <w:basedOn w:val="style0"/>
    <w:next w:val="style4127"/>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color w:val="000000"/>
    </w:rPr>
  </w:style>
  <w:style w:type="paragraph" w:customStyle="1" w:styleId="style4128">
    <w:name w:val="xl73"/>
    <w:basedOn w:val="style0"/>
    <w:next w:val="style4128"/>
    <w:pPr>
      <w:pBdr>
        <w:left w:val="single" w:sz="4"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rPr>
  </w:style>
  <w:style w:type="paragraph" w:customStyle="1" w:styleId="style4129">
    <w:name w:val="xl74"/>
    <w:basedOn w:val="style0"/>
    <w:next w:val="style4129"/>
    <w:pPr>
      <w:pBdr>
        <w:left w:val="single" w:sz="4"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rPr>
  </w:style>
  <w:style w:type="paragraph" w:customStyle="1" w:styleId="style4130">
    <w:name w:val="xl75"/>
    <w:basedOn w:val="style0"/>
    <w:next w:val="style4130"/>
    <w:pPr>
      <w:pBdr>
        <w:left w:val="single" w:sz="4" w:space="0" w:color="auto"/>
        <w:right w:val="single" w:sz="8" w:space="0" w:color="auto"/>
        <w:top w:val="single" w:sz="4" w:space="0" w:color="auto"/>
        <w:bottom w:val="single" w:sz="4" w:space="0" w:color="auto"/>
      </w:pBdr>
      <w:spacing w:before="100" w:beforeAutospacing="true" w:after="100" w:afterAutospacing="true"/>
      <w:textAlignment w:val="center"/>
    </w:pPr>
    <w:rPr>
      <w:rFonts w:ascii="Century Gothic" w:hAnsi="Century Gothic"/>
    </w:rPr>
  </w:style>
  <w:style w:type="paragraph" w:customStyle="1" w:styleId="style4131">
    <w:name w:val="xl76"/>
    <w:basedOn w:val="style0"/>
    <w:next w:val="style4131"/>
    <w:pPr>
      <w:pBdr>
        <w:left w:val="single" w:sz="8" w:space="0" w:color="auto"/>
        <w:right w:val="single" w:sz="4" w:space="0" w:color="auto"/>
        <w:top w:val="single" w:sz="8" w:space="0" w:color="auto"/>
        <w:bottom w:val="single" w:sz="4" w:space="0" w:color="auto"/>
      </w:pBdr>
      <w:spacing w:before="100" w:beforeAutospacing="true" w:after="100" w:afterAutospacing="true"/>
      <w:jc w:val="center"/>
      <w:textAlignment w:val="center"/>
    </w:pPr>
    <w:rPr>
      <w:rFonts w:ascii="Century Gothic" w:hAnsi="Century Gothic"/>
      <w:b/>
      <w:bCs/>
    </w:rPr>
  </w:style>
  <w:style w:type="paragraph" w:customStyle="1" w:styleId="style4132">
    <w:name w:val="xl77"/>
    <w:basedOn w:val="style0"/>
    <w:next w:val="style4132"/>
    <w:pPr>
      <w:pBdr>
        <w:left w:val="single" w:sz="4" w:space="0" w:color="auto"/>
        <w:right w:val="single" w:sz="4" w:space="0" w:color="auto"/>
        <w:top w:val="single" w:sz="8" w:space="0" w:color="auto"/>
        <w:bottom w:val="single" w:sz="4" w:space="0" w:color="auto"/>
      </w:pBdr>
      <w:spacing w:before="100" w:beforeAutospacing="true" w:after="100" w:afterAutospacing="true"/>
      <w:jc w:val="center"/>
      <w:textAlignment w:val="center"/>
    </w:pPr>
    <w:rPr>
      <w:rFonts w:ascii="Century Gothic" w:hAnsi="Century Gothic"/>
      <w:b/>
      <w:bCs/>
    </w:rPr>
  </w:style>
  <w:style w:type="paragraph" w:customStyle="1" w:styleId="style4133">
    <w:name w:val="xl78"/>
    <w:basedOn w:val="style0"/>
    <w:next w:val="style4133"/>
    <w:pPr>
      <w:pBdr>
        <w:left w:val="single" w:sz="4" w:space="0" w:color="auto"/>
        <w:right w:val="single" w:sz="4" w:space="0" w:color="auto"/>
        <w:top w:val="single" w:sz="8" w:space="0" w:color="auto"/>
        <w:bottom w:val="single" w:sz="4" w:space="0" w:color="auto"/>
      </w:pBdr>
      <w:spacing w:before="100" w:beforeAutospacing="true" w:after="100" w:afterAutospacing="true"/>
      <w:jc w:val="center"/>
      <w:textAlignment w:val="center"/>
    </w:pPr>
    <w:rPr>
      <w:rFonts w:ascii="Century Gothic" w:hAnsi="Century Gothic"/>
      <w:b/>
      <w:bCs/>
    </w:rPr>
  </w:style>
  <w:style w:type="paragraph" w:customStyle="1" w:styleId="style4134">
    <w:name w:val="xl79"/>
    <w:basedOn w:val="style0"/>
    <w:next w:val="style4134"/>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rPr>
  </w:style>
  <w:style w:type="paragraph" w:customStyle="1" w:styleId="style4135">
    <w:name w:val="xl80"/>
    <w:basedOn w:val="style0"/>
    <w:next w:val="style4135"/>
    <w:pPr>
      <w:pBdr>
        <w:left w:val="single" w:sz="4"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rPr>
  </w:style>
  <w:style w:type="paragraph" w:customStyle="1" w:styleId="style4136">
    <w:name w:val="xl81"/>
    <w:basedOn w:val="style0"/>
    <w:next w:val="style4136"/>
    <w:pPr>
      <w:pBdr>
        <w:left w:val="single" w:sz="4"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rPr>
  </w:style>
  <w:style w:type="paragraph" w:customStyle="1" w:styleId="style4137">
    <w:name w:val="xl82"/>
    <w:basedOn w:val="style0"/>
    <w:next w:val="style4137"/>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i/>
      <w:iCs/>
    </w:rPr>
  </w:style>
  <w:style w:type="paragraph" w:customStyle="1" w:styleId="style4138">
    <w:name w:val="xl83"/>
    <w:basedOn w:val="style0"/>
    <w:next w:val="style4138"/>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i/>
      <w:iCs/>
    </w:rPr>
  </w:style>
  <w:style w:type="paragraph" w:customStyle="1" w:styleId="style4139">
    <w:name w:val="xl84"/>
    <w:basedOn w:val="style0"/>
    <w:next w:val="style4139"/>
    <w:pPr>
      <w:pBdr>
        <w:left w:val="single" w:sz="4" w:space="0" w:color="auto"/>
        <w:right w:val="single" w:sz="4" w:space="0" w:color="auto"/>
        <w:top w:val="single" w:sz="4" w:space="0" w:color="auto"/>
        <w:bottom w:val="single" w:sz="4" w:space="0" w:color="auto"/>
      </w:pBdr>
      <w:shd w:val="clear" w:color="000000" w:fill="b8cce4"/>
      <w:spacing w:before="100" w:beforeAutospacing="true" w:after="100" w:afterAutospacing="true"/>
      <w:textAlignment w:val="center"/>
    </w:pPr>
    <w:rPr>
      <w:rFonts w:ascii="Century Gothic" w:hAnsi="Century Gothic"/>
      <w:b/>
      <w:bCs/>
      <w:color w:val="000000"/>
    </w:rPr>
  </w:style>
  <w:style w:type="paragraph" w:customStyle="1" w:styleId="style4140">
    <w:name w:val="xl85"/>
    <w:basedOn w:val="style0"/>
    <w:next w:val="style4140"/>
    <w:pPr>
      <w:pBdr>
        <w:left w:val="single" w:sz="4" w:space="0" w:color="auto"/>
        <w:right w:val="single" w:sz="4" w:space="0" w:color="auto"/>
        <w:top w:val="single" w:sz="4" w:space="0" w:color="auto"/>
        <w:bottom w:val="single" w:sz="4" w:space="0" w:color="auto"/>
      </w:pBdr>
      <w:shd w:val="clear" w:color="000000" w:fill="b8cce4"/>
      <w:spacing w:before="100" w:beforeAutospacing="true" w:after="100" w:afterAutospacing="true"/>
      <w:textAlignment w:val="center"/>
    </w:pPr>
    <w:rPr>
      <w:rFonts w:ascii="Century Gothic" w:hAnsi="Century Gothic"/>
      <w:b/>
      <w:bCs/>
      <w:color w:val="000000"/>
    </w:rPr>
  </w:style>
  <w:style w:type="paragraph" w:customStyle="1" w:styleId="style4141">
    <w:name w:val="xl86"/>
    <w:basedOn w:val="style0"/>
    <w:next w:val="style4141"/>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i/>
      <w:iCs/>
    </w:rPr>
  </w:style>
  <w:style w:type="paragraph" w:customStyle="1" w:styleId="style4142">
    <w:name w:val="xl87"/>
    <w:basedOn w:val="style0"/>
    <w:next w:val="style4142"/>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i/>
      <w:iCs/>
      <w:color w:val="000000"/>
    </w:rPr>
  </w:style>
  <w:style w:type="paragraph" w:customStyle="1" w:styleId="style4143">
    <w:name w:val="xl88"/>
    <w:basedOn w:val="style0"/>
    <w:next w:val="style4143"/>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i/>
      <w:iCs/>
      <w:color w:val="000000"/>
    </w:rPr>
  </w:style>
  <w:style w:type="paragraph" w:customStyle="1" w:styleId="style4144">
    <w:name w:val="xl89"/>
    <w:basedOn w:val="style0"/>
    <w:next w:val="style4144"/>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i/>
      <w:iCs/>
    </w:rPr>
  </w:style>
  <w:style w:type="paragraph" w:customStyle="1" w:styleId="style4145">
    <w:name w:val="xl90"/>
    <w:basedOn w:val="style0"/>
    <w:next w:val="style4145"/>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i/>
      <w:iCs/>
    </w:rPr>
  </w:style>
  <w:style w:type="paragraph" w:customStyle="1" w:styleId="style4146">
    <w:name w:val="xl91"/>
    <w:basedOn w:val="style0"/>
    <w:next w:val="style4146"/>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i/>
      <w:iCs/>
    </w:rPr>
  </w:style>
  <w:style w:type="paragraph" w:customStyle="1" w:styleId="style4147">
    <w:name w:val="xl92"/>
    <w:basedOn w:val="style0"/>
    <w:next w:val="style4147"/>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color w:val="000000"/>
    </w:rPr>
  </w:style>
  <w:style w:type="paragraph" w:customStyle="1" w:styleId="style4148">
    <w:name w:val="xl93"/>
    <w:basedOn w:val="style0"/>
    <w:next w:val="style4148"/>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color w:val="000000"/>
    </w:rPr>
  </w:style>
  <w:style w:type="paragraph" w:customStyle="1" w:styleId="style4149">
    <w:name w:val="xl94"/>
    <w:basedOn w:val="style0"/>
    <w:next w:val="style4149"/>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rPr>
  </w:style>
  <w:style w:type="paragraph" w:customStyle="1" w:styleId="style4150">
    <w:name w:val="xl95"/>
    <w:basedOn w:val="style0"/>
    <w:next w:val="style4150"/>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rPr>
  </w:style>
  <w:style w:type="paragraph" w:customStyle="1" w:styleId="style4151">
    <w:name w:val="xl96"/>
    <w:basedOn w:val="style0"/>
    <w:next w:val="style4151"/>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rPr>
  </w:style>
  <w:style w:type="paragraph" w:customStyle="1" w:styleId="style4152">
    <w:name w:val="xl97"/>
    <w:basedOn w:val="style0"/>
    <w:next w:val="style4152"/>
    <w:pPr>
      <w:pBdr>
        <w:left w:val="single" w:sz="8" w:space="0" w:color="auto"/>
        <w:right w:val="single" w:sz="4" w:space="0" w:color="auto"/>
        <w:top w:val="single" w:sz="4" w:space="0" w:color="auto"/>
        <w:bottom w:val="single" w:sz="4" w:space="0" w:color="auto"/>
      </w:pBdr>
      <w:shd w:val="clear" w:color="000000" w:fill="d9d9d9"/>
      <w:spacing w:before="100" w:beforeAutospacing="true" w:after="100" w:afterAutospacing="true"/>
      <w:textAlignment w:val="center"/>
    </w:pPr>
    <w:rPr>
      <w:rFonts w:ascii="Century Gothic" w:hAnsi="Century Gothic"/>
      <w:b/>
      <w:bCs/>
      <w:i/>
      <w:iCs/>
      <w:color w:val="000000"/>
    </w:rPr>
  </w:style>
  <w:style w:type="paragraph" w:customStyle="1" w:styleId="style4153">
    <w:name w:val="xl98"/>
    <w:basedOn w:val="style0"/>
    <w:next w:val="style4153"/>
    <w:pPr>
      <w:pBdr>
        <w:left w:val="single" w:sz="4" w:space="0" w:color="auto"/>
        <w:right w:val="single" w:sz="4" w:space="0" w:color="auto"/>
        <w:top w:val="single" w:sz="4" w:space="0" w:color="auto"/>
        <w:bottom w:val="single" w:sz="4" w:space="0" w:color="auto"/>
      </w:pBdr>
      <w:shd w:val="clear" w:color="000000" w:fill="d9d9d9"/>
      <w:spacing w:before="100" w:beforeAutospacing="true" w:after="100" w:afterAutospacing="true"/>
      <w:jc w:val="center"/>
      <w:textAlignment w:val="center"/>
    </w:pPr>
    <w:rPr>
      <w:rFonts w:ascii="Century Gothic" w:hAnsi="Century Gothic"/>
      <w:b/>
      <w:bCs/>
      <w:i/>
      <w:iCs/>
      <w:color w:val="000000"/>
    </w:rPr>
  </w:style>
  <w:style w:type="paragraph" w:customStyle="1" w:styleId="style4154">
    <w:name w:val="xl99"/>
    <w:basedOn w:val="style0"/>
    <w:next w:val="style4154"/>
    <w:pPr>
      <w:pBdr>
        <w:left w:val="single" w:sz="4" w:space="0" w:color="auto"/>
        <w:right w:val="single" w:sz="4" w:space="0" w:color="auto"/>
        <w:top w:val="single" w:sz="4" w:space="0" w:color="auto"/>
        <w:bottom w:val="single" w:sz="4" w:space="0" w:color="auto"/>
      </w:pBdr>
      <w:shd w:val="clear" w:color="000000" w:fill="d9d9d9"/>
      <w:spacing w:before="100" w:beforeAutospacing="true" w:after="100" w:afterAutospacing="true"/>
      <w:jc w:val="center"/>
      <w:textAlignment w:val="center"/>
    </w:pPr>
    <w:rPr>
      <w:rFonts w:ascii="Century Gothic" w:hAnsi="Century Gothic"/>
      <w:b/>
      <w:bCs/>
      <w:i/>
      <w:iCs/>
      <w:color w:val="000000"/>
    </w:rPr>
  </w:style>
  <w:style w:type="paragraph" w:customStyle="1" w:styleId="style4155">
    <w:name w:val="xl100"/>
    <w:basedOn w:val="style0"/>
    <w:next w:val="style4155"/>
    <w:pPr>
      <w:pBdr>
        <w:left w:val="single" w:sz="8" w:space="0" w:color="auto"/>
        <w:right w:val="single" w:sz="4" w:space="0" w:color="auto"/>
        <w:top w:val="single" w:sz="4" w:space="0" w:color="auto"/>
        <w:bottom w:val="single" w:sz="4" w:space="0" w:color="auto"/>
      </w:pBdr>
      <w:shd w:val="clear" w:color="000000" w:fill="ffff00"/>
      <w:spacing w:before="100" w:beforeAutospacing="true" w:after="100" w:afterAutospacing="true"/>
      <w:textAlignment w:val="center"/>
    </w:pPr>
    <w:rPr>
      <w:rFonts w:ascii="Century Gothic" w:hAnsi="Century Gothic"/>
      <w:b/>
      <w:bCs/>
      <w:i/>
      <w:iCs/>
      <w:color w:val="000000"/>
    </w:rPr>
  </w:style>
  <w:style w:type="paragraph" w:customStyle="1" w:styleId="style4156">
    <w:name w:val="xl101"/>
    <w:basedOn w:val="style0"/>
    <w:next w:val="style4156"/>
    <w:pPr>
      <w:pBdr>
        <w:left w:val="single" w:sz="4" w:space="0" w:color="auto"/>
        <w:right w:val="single" w:sz="4" w:space="0" w:color="auto"/>
        <w:top w:val="single" w:sz="4" w:space="0" w:color="auto"/>
        <w:bottom w:val="single" w:sz="4" w:space="0" w:color="auto"/>
      </w:pBdr>
      <w:shd w:val="clear" w:color="000000" w:fill="ffff00"/>
      <w:spacing w:before="100" w:beforeAutospacing="true" w:after="100" w:afterAutospacing="true"/>
      <w:jc w:val="center"/>
      <w:textAlignment w:val="center"/>
    </w:pPr>
    <w:rPr>
      <w:rFonts w:ascii="Century Gothic" w:hAnsi="Century Gothic"/>
      <w:b/>
      <w:bCs/>
      <w:i/>
      <w:iCs/>
      <w:color w:val="000000"/>
    </w:rPr>
  </w:style>
  <w:style w:type="paragraph" w:customStyle="1" w:styleId="style4157">
    <w:name w:val="xl102"/>
    <w:basedOn w:val="style0"/>
    <w:next w:val="style4157"/>
    <w:pPr>
      <w:pBdr>
        <w:left w:val="single" w:sz="4" w:space="0" w:color="auto"/>
        <w:right w:val="single" w:sz="4" w:space="0" w:color="auto"/>
        <w:top w:val="single" w:sz="4" w:space="0" w:color="auto"/>
        <w:bottom w:val="single" w:sz="4" w:space="0" w:color="auto"/>
      </w:pBdr>
      <w:shd w:val="clear" w:color="000000" w:fill="ffff00"/>
      <w:spacing w:before="100" w:beforeAutospacing="true" w:after="100" w:afterAutospacing="true"/>
      <w:jc w:val="center"/>
      <w:textAlignment w:val="center"/>
    </w:pPr>
    <w:rPr>
      <w:rFonts w:ascii="Century Gothic" w:hAnsi="Century Gothic"/>
      <w:b/>
      <w:bCs/>
      <w:i/>
      <w:iCs/>
      <w:color w:val="000000"/>
    </w:rPr>
  </w:style>
  <w:style w:type="paragraph" w:customStyle="1" w:styleId="style4158">
    <w:name w:val="xl103"/>
    <w:basedOn w:val="style0"/>
    <w:next w:val="style4158"/>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rPr>
  </w:style>
  <w:style w:type="paragraph" w:customStyle="1" w:styleId="style4159">
    <w:name w:val="xl104"/>
    <w:basedOn w:val="style0"/>
    <w:next w:val="style4159"/>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color w:val="000000"/>
    </w:rPr>
  </w:style>
  <w:style w:type="paragraph" w:customStyle="1" w:styleId="style4160">
    <w:name w:val="xl105"/>
    <w:basedOn w:val="style0"/>
    <w:next w:val="style4160"/>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color w:val="000000"/>
    </w:rPr>
  </w:style>
  <w:style w:type="paragraph" w:customStyle="1" w:styleId="style4161">
    <w:name w:val="xl106"/>
    <w:basedOn w:val="style0"/>
    <w:next w:val="style4161"/>
    <w:pPr>
      <w:pBdr>
        <w:left w:val="single" w:sz="4" w:space="0" w:color="auto"/>
        <w:right w:val="single" w:sz="4" w:space="0" w:color="auto"/>
        <w:top w:val="single" w:sz="4" w:space="0" w:color="auto"/>
        <w:bottom w:val="single" w:sz="4" w:space="0" w:color="auto"/>
      </w:pBdr>
      <w:shd w:val="clear" w:color="000000" w:fill="d9d9d9"/>
      <w:spacing w:before="100" w:beforeAutospacing="true" w:after="100" w:afterAutospacing="true"/>
      <w:jc w:val="center"/>
      <w:textAlignment w:val="center"/>
    </w:pPr>
    <w:rPr>
      <w:rFonts w:ascii="Century Gothic" w:hAnsi="Century Gothic"/>
      <w:b/>
      <w:bCs/>
      <w:i/>
      <w:iCs/>
      <w:color w:val="000000"/>
    </w:rPr>
  </w:style>
  <w:style w:type="paragraph" w:customStyle="1" w:styleId="style4162">
    <w:name w:val="xl107"/>
    <w:basedOn w:val="style0"/>
    <w:next w:val="style4162"/>
    <w:pPr>
      <w:pBdr>
        <w:left w:val="single" w:sz="4" w:space="0" w:color="auto"/>
        <w:right w:val="single" w:sz="4" w:space="0" w:color="auto"/>
        <w:top w:val="single" w:sz="4" w:space="0" w:color="auto"/>
        <w:bottom w:val="single" w:sz="4" w:space="0" w:color="auto"/>
      </w:pBdr>
      <w:shd w:val="clear" w:color="000000" w:fill="d9d9d9"/>
      <w:spacing w:before="100" w:beforeAutospacing="true" w:after="100" w:afterAutospacing="true"/>
      <w:jc w:val="center"/>
      <w:textAlignment w:val="center"/>
    </w:pPr>
    <w:rPr>
      <w:rFonts w:ascii="Century Gothic" w:hAnsi="Century Gothic"/>
      <w:b/>
      <w:bCs/>
      <w:i/>
      <w:iCs/>
      <w:color w:val="000000"/>
    </w:rPr>
  </w:style>
  <w:style w:type="paragraph" w:customStyle="1" w:styleId="style4163">
    <w:name w:val="xl108"/>
    <w:basedOn w:val="style0"/>
    <w:next w:val="style4163"/>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rPr>
  </w:style>
  <w:style w:type="paragraph" w:customStyle="1" w:styleId="style4164">
    <w:name w:val="xl109"/>
    <w:basedOn w:val="style0"/>
    <w:next w:val="style4164"/>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rPr>
  </w:style>
  <w:style w:type="paragraph" w:customStyle="1" w:styleId="style4165">
    <w:name w:val="xl110"/>
    <w:basedOn w:val="style0"/>
    <w:next w:val="style4165"/>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i/>
      <w:iCs/>
      <w:color w:val="000000"/>
    </w:rPr>
  </w:style>
  <w:style w:type="paragraph" w:customStyle="1" w:styleId="style4166">
    <w:name w:val="xl111"/>
    <w:basedOn w:val="style0"/>
    <w:next w:val="style4166"/>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i/>
      <w:iCs/>
      <w:color w:val="000000"/>
    </w:rPr>
  </w:style>
  <w:style w:type="paragraph" w:customStyle="1" w:styleId="style4167">
    <w:name w:val="xl112"/>
    <w:basedOn w:val="style0"/>
    <w:next w:val="style4167"/>
    <w:pPr>
      <w:pBdr>
        <w:left w:val="single" w:sz="4" w:space="0" w:color="auto"/>
        <w:right w:val="single" w:sz="4" w:space="0" w:color="auto"/>
        <w:top w:val="single" w:sz="4" w:space="0" w:color="auto"/>
        <w:bottom w:val="single" w:sz="4" w:space="0" w:color="auto"/>
      </w:pBdr>
      <w:shd w:val="clear" w:color="000000" w:fill="ffffff"/>
      <w:spacing w:before="100" w:beforeAutospacing="true" w:after="100" w:afterAutospacing="true"/>
      <w:jc w:val="center"/>
      <w:textAlignment w:val="center"/>
    </w:pPr>
    <w:rPr>
      <w:rFonts w:ascii="Century Gothic" w:hAnsi="Century Gothic"/>
      <w:color w:val="000000"/>
    </w:rPr>
  </w:style>
  <w:style w:type="paragraph" w:customStyle="1" w:styleId="style4168">
    <w:name w:val="xl113"/>
    <w:basedOn w:val="style0"/>
    <w:next w:val="style4168"/>
    <w:pPr>
      <w:pBdr>
        <w:left w:val="single" w:sz="4" w:space="0" w:color="auto"/>
        <w:right w:val="single" w:sz="4" w:space="0" w:color="auto"/>
        <w:top w:val="single" w:sz="4" w:space="0" w:color="auto"/>
        <w:bottom w:val="single" w:sz="4" w:space="0" w:color="auto"/>
      </w:pBdr>
      <w:shd w:val="clear" w:color="000000" w:fill="ffffff"/>
      <w:spacing w:before="100" w:beforeAutospacing="true" w:after="100" w:afterAutospacing="true"/>
      <w:jc w:val="center"/>
      <w:textAlignment w:val="center"/>
    </w:pPr>
    <w:rPr>
      <w:rFonts w:ascii="Century Gothic" w:hAnsi="Century Gothic"/>
      <w:color w:val="000000"/>
    </w:rPr>
  </w:style>
  <w:style w:type="paragraph" w:customStyle="1" w:styleId="style4169">
    <w:name w:val="xl114"/>
    <w:basedOn w:val="style0"/>
    <w:next w:val="style4169"/>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rPr>
  </w:style>
  <w:style w:type="paragraph" w:customStyle="1" w:styleId="style4170">
    <w:name w:val="xl115"/>
    <w:basedOn w:val="style0"/>
    <w:next w:val="style4170"/>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rPr>
  </w:style>
  <w:style w:type="paragraph" w:customStyle="1" w:styleId="style4171">
    <w:name w:val="xl116"/>
    <w:basedOn w:val="style0"/>
    <w:next w:val="style4171"/>
    <w:pPr>
      <w:pBdr>
        <w:left w:val="single" w:sz="4" w:space="0" w:color="auto"/>
        <w:right w:val="single" w:sz="4" w:space="0" w:color="auto"/>
        <w:top w:val="single" w:sz="4" w:space="0" w:color="auto"/>
        <w:bottom w:val="single" w:sz="4" w:space="0" w:color="auto"/>
      </w:pBdr>
      <w:shd w:val="clear" w:color="000000" w:fill="92d050"/>
      <w:spacing w:before="100" w:beforeAutospacing="true" w:after="100" w:afterAutospacing="true"/>
      <w:textAlignment w:val="center"/>
    </w:pPr>
    <w:rPr>
      <w:rFonts w:ascii="Century Gothic" w:hAnsi="Century Gothic"/>
      <w:b/>
      <w:bCs/>
    </w:rPr>
  </w:style>
  <w:style w:type="paragraph" w:customStyle="1" w:styleId="style4172">
    <w:name w:val="xl117"/>
    <w:basedOn w:val="style0"/>
    <w:next w:val="style4172"/>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color w:val="000000"/>
    </w:rPr>
  </w:style>
  <w:style w:type="paragraph" w:customStyle="1" w:styleId="style4173">
    <w:name w:val="xl118"/>
    <w:basedOn w:val="style0"/>
    <w:next w:val="style4173"/>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rPr>
  </w:style>
  <w:style w:type="paragraph" w:customStyle="1" w:styleId="style4174">
    <w:name w:val="xl119"/>
    <w:basedOn w:val="style0"/>
    <w:next w:val="style4174"/>
    <w:pPr>
      <w:pBdr>
        <w:left w:val="single" w:sz="4" w:space="0" w:color="auto"/>
        <w:right w:val="single" w:sz="4" w:space="0" w:color="auto"/>
        <w:top w:val="single" w:sz="4" w:space="0" w:color="auto"/>
        <w:bottom w:val="single" w:sz="4" w:space="0" w:color="auto"/>
      </w:pBdr>
      <w:spacing w:before="100" w:beforeAutospacing="true" w:after="100" w:afterAutospacing="true"/>
      <w:jc w:val="center"/>
      <w:textAlignment w:val="center"/>
    </w:pPr>
    <w:rPr>
      <w:rFonts w:ascii="Century Gothic" w:hAnsi="Century Gothic"/>
      <w:b/>
      <w:bCs/>
    </w:rPr>
  </w:style>
  <w:style w:type="paragraph" w:customStyle="1" w:styleId="style4175">
    <w:name w:val="xl120"/>
    <w:basedOn w:val="style0"/>
    <w:next w:val="style4175"/>
    <w:pPr>
      <w:pBdr>
        <w:left w:val="single" w:sz="4"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rPr>
  </w:style>
  <w:style w:type="paragraph" w:customStyle="1" w:styleId="style4176">
    <w:name w:val="xl121"/>
    <w:basedOn w:val="style0"/>
    <w:next w:val="style4176"/>
    <w:pPr>
      <w:pBdr>
        <w:left w:val="single" w:sz="4" w:space="0" w:color="auto"/>
        <w:right w:val="single" w:sz="8" w:space="0" w:color="auto"/>
        <w:top w:val="single" w:sz="4" w:space="0" w:color="auto"/>
        <w:bottom w:val="single" w:sz="4" w:space="0" w:color="auto"/>
      </w:pBdr>
      <w:spacing w:before="100" w:beforeAutospacing="true" w:after="100" w:afterAutospacing="true"/>
      <w:textAlignment w:val="center"/>
    </w:pPr>
    <w:rPr>
      <w:rFonts w:ascii="Century Gothic" w:hAnsi="Century Gothic"/>
    </w:rPr>
  </w:style>
  <w:style w:type="paragraph" w:customStyle="1" w:styleId="style4177">
    <w:name w:val="xl122"/>
    <w:basedOn w:val="style0"/>
    <w:next w:val="style4177"/>
    <w:pPr>
      <w:pBdr>
        <w:left w:val="single" w:sz="8" w:space="0" w:color="auto"/>
        <w:right w:val="single" w:sz="4" w:space="0" w:color="auto"/>
        <w:top w:val="single" w:sz="4" w:space="0" w:color="auto"/>
        <w:bottom w:val="single" w:sz="4" w:space="0" w:color="auto"/>
      </w:pBdr>
      <w:shd w:val="clear" w:color="000000" w:fill="ffffff"/>
      <w:spacing w:before="100" w:beforeAutospacing="true" w:after="100" w:afterAutospacing="true"/>
      <w:textAlignment w:val="center"/>
    </w:pPr>
    <w:rPr>
      <w:rFonts w:ascii="Century Gothic" w:hAnsi="Century Gothic"/>
    </w:rPr>
  </w:style>
  <w:style w:type="paragraph" w:customStyle="1" w:styleId="style4178">
    <w:name w:val="xl123"/>
    <w:basedOn w:val="style0"/>
    <w:next w:val="style4178"/>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color w:val="000000"/>
    </w:rPr>
  </w:style>
  <w:style w:type="paragraph" w:customStyle="1" w:styleId="style4179">
    <w:name w:val="xl124"/>
    <w:basedOn w:val="style0"/>
    <w:next w:val="style4179"/>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color w:val="000000"/>
    </w:rPr>
  </w:style>
  <w:style w:type="paragraph" w:customStyle="1" w:styleId="style4180">
    <w:name w:val="xl125"/>
    <w:basedOn w:val="style0"/>
    <w:next w:val="style4180"/>
    <w:pPr>
      <w:pBdr>
        <w:left w:val="single" w:sz="4" w:space="0" w:color="auto"/>
        <w:right w:val="single" w:sz="4" w:space="0" w:color="auto"/>
        <w:top w:val="single" w:sz="4" w:space="0" w:color="auto"/>
        <w:bottom w:val="single" w:sz="4" w:space="0" w:color="auto"/>
      </w:pBdr>
      <w:shd w:val="clear" w:color="000000" w:fill="92d050"/>
      <w:spacing w:before="100" w:beforeAutospacing="true" w:after="100" w:afterAutospacing="true"/>
      <w:textAlignment w:val="center"/>
    </w:pPr>
    <w:rPr>
      <w:rFonts w:ascii="Century Gothic" w:hAnsi="Century Gothic"/>
      <w:b/>
      <w:bCs/>
      <w:i/>
      <w:iCs/>
      <w:color w:val="000000"/>
    </w:rPr>
  </w:style>
  <w:style w:type="paragraph" w:customStyle="1" w:styleId="style4181">
    <w:name w:val="xl126"/>
    <w:basedOn w:val="style0"/>
    <w:next w:val="style4181"/>
    <w:pPr>
      <w:pBdr>
        <w:left w:val="single" w:sz="8" w:space="0" w:color="auto"/>
        <w:right w:val="single" w:sz="4" w:space="0" w:color="auto"/>
        <w:top w:val="single" w:sz="4" w:space="0" w:color="auto"/>
        <w:bottom w:val="single" w:sz="4" w:space="0" w:color="auto"/>
      </w:pBdr>
      <w:shd w:val="clear" w:color="000000" w:fill="d9d9d9"/>
      <w:spacing w:before="100" w:beforeAutospacing="true" w:after="100" w:afterAutospacing="true"/>
      <w:textAlignment w:val="center"/>
    </w:pPr>
    <w:rPr>
      <w:rFonts w:ascii="Century Gothic" w:hAnsi="Century Gothic"/>
      <w:b/>
      <w:bCs/>
      <w:i/>
      <w:iCs/>
      <w:color w:val="000000"/>
    </w:rPr>
  </w:style>
  <w:style w:type="paragraph" w:customStyle="1" w:styleId="style4182">
    <w:name w:val="xl127"/>
    <w:basedOn w:val="style0"/>
    <w:next w:val="style4182"/>
    <w:pPr>
      <w:pBdr>
        <w:left w:val="single" w:sz="8" w:space="0" w:color="auto"/>
        <w:right w:val="single" w:sz="4" w:space="0" w:color="auto"/>
        <w:top w:val="single" w:sz="4" w:space="0" w:color="auto"/>
        <w:bottom w:val="single" w:sz="4" w:space="0" w:color="auto"/>
      </w:pBdr>
      <w:shd w:val="clear" w:color="000000" w:fill="92d050"/>
      <w:spacing w:before="100" w:beforeAutospacing="true" w:after="100" w:afterAutospacing="true"/>
      <w:textAlignment w:val="center"/>
    </w:pPr>
    <w:rPr>
      <w:rFonts w:ascii="Century Gothic" w:hAnsi="Century Gothic"/>
      <w:b/>
      <w:bCs/>
      <w:color w:val="000000"/>
    </w:rPr>
  </w:style>
  <w:style w:type="paragraph" w:customStyle="1" w:styleId="style4183">
    <w:name w:val="xl128"/>
    <w:basedOn w:val="style0"/>
    <w:next w:val="style4183"/>
    <w:pPr>
      <w:pBdr>
        <w:left w:val="single" w:sz="4" w:space="0" w:color="auto"/>
        <w:right w:val="single" w:sz="4" w:space="0" w:color="auto"/>
        <w:top w:val="single" w:sz="4" w:space="0" w:color="auto"/>
        <w:bottom w:val="single" w:sz="4" w:space="0" w:color="auto"/>
      </w:pBdr>
      <w:shd w:val="clear" w:color="000000" w:fill="92d050"/>
      <w:spacing w:before="100" w:beforeAutospacing="true" w:after="100" w:afterAutospacing="true"/>
      <w:jc w:val="center"/>
      <w:textAlignment w:val="center"/>
    </w:pPr>
    <w:rPr>
      <w:rFonts w:ascii="Century Gothic" w:hAnsi="Century Gothic"/>
      <w:b/>
      <w:bCs/>
      <w:color w:val="000000"/>
    </w:rPr>
  </w:style>
  <w:style w:type="paragraph" w:customStyle="1" w:styleId="style4184">
    <w:name w:val="xl129"/>
    <w:basedOn w:val="style0"/>
    <w:next w:val="style4184"/>
    <w:pPr>
      <w:pBdr>
        <w:left w:val="single" w:sz="4" w:space="0" w:color="auto"/>
        <w:right w:val="single" w:sz="4" w:space="0" w:color="auto"/>
        <w:top w:val="single" w:sz="4" w:space="0" w:color="auto"/>
        <w:bottom w:val="single" w:sz="4" w:space="0" w:color="auto"/>
      </w:pBdr>
      <w:shd w:val="clear" w:color="000000" w:fill="92d050"/>
      <w:spacing w:before="100" w:beforeAutospacing="true" w:after="100" w:afterAutospacing="true"/>
      <w:jc w:val="center"/>
      <w:textAlignment w:val="center"/>
    </w:pPr>
    <w:rPr>
      <w:rFonts w:ascii="Century Gothic" w:hAnsi="Century Gothic"/>
      <w:b/>
      <w:bCs/>
      <w:color w:val="000000"/>
    </w:rPr>
  </w:style>
  <w:style w:type="paragraph" w:customStyle="1" w:styleId="style4185">
    <w:name w:val="xl130"/>
    <w:basedOn w:val="style0"/>
    <w:next w:val="style4185"/>
    <w:pPr>
      <w:pBdr>
        <w:left w:val="single" w:sz="4" w:space="0" w:color="auto"/>
        <w:right w:val="single" w:sz="8" w:space="0" w:color="auto"/>
        <w:top w:val="single" w:sz="4" w:space="0" w:color="auto"/>
        <w:bottom w:val="single" w:sz="4" w:space="0" w:color="auto"/>
      </w:pBdr>
      <w:shd w:val="clear" w:color="000000" w:fill="b8cce4"/>
      <w:spacing w:before="100" w:beforeAutospacing="true" w:after="100" w:afterAutospacing="true"/>
      <w:jc w:val="center"/>
      <w:textAlignment w:val="center"/>
    </w:pPr>
    <w:rPr>
      <w:rFonts w:ascii="Century Gothic" w:hAnsi="Century Gothic"/>
    </w:rPr>
  </w:style>
  <w:style w:type="paragraph" w:customStyle="1" w:styleId="style4186">
    <w:name w:val="xl131"/>
    <w:basedOn w:val="style0"/>
    <w:next w:val="style4186"/>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i/>
      <w:iCs/>
      <w:color w:val="000000"/>
    </w:rPr>
  </w:style>
  <w:style w:type="paragraph" w:customStyle="1" w:styleId="style4187">
    <w:name w:val="xl132"/>
    <w:basedOn w:val="style0"/>
    <w:next w:val="style4187"/>
    <w:pPr>
      <w:pBdr>
        <w:left w:val="single" w:sz="8" w:space="0" w:color="auto"/>
        <w:right w:val="single" w:sz="4" w:space="0" w:color="auto"/>
        <w:top w:val="single" w:sz="4" w:space="0" w:color="auto"/>
        <w:bottom w:val="single" w:sz="4" w:space="0" w:color="auto"/>
      </w:pBdr>
      <w:shd w:val="clear" w:color="000000" w:fill="ffff00"/>
      <w:spacing w:before="100" w:beforeAutospacing="true" w:after="100" w:afterAutospacing="true"/>
      <w:textAlignment w:val="center"/>
    </w:pPr>
    <w:rPr>
      <w:rFonts w:ascii="Century Gothic" w:hAnsi="Century Gothic"/>
      <w:b/>
      <w:bCs/>
      <w:color w:val="000000"/>
    </w:rPr>
  </w:style>
  <w:style w:type="paragraph" w:customStyle="1" w:styleId="style4188">
    <w:name w:val="xl133"/>
    <w:basedOn w:val="style0"/>
    <w:next w:val="style4188"/>
    <w:pPr>
      <w:pBdr>
        <w:left w:val="single" w:sz="4" w:space="0" w:color="auto"/>
        <w:right w:val="single" w:sz="4" w:space="0" w:color="auto"/>
        <w:top w:val="single" w:sz="4" w:space="0" w:color="auto"/>
        <w:bottom w:val="single" w:sz="4" w:space="0" w:color="auto"/>
      </w:pBdr>
      <w:shd w:val="clear" w:color="000000" w:fill="ffff00"/>
      <w:spacing w:before="100" w:beforeAutospacing="true" w:after="100" w:afterAutospacing="true"/>
      <w:jc w:val="center"/>
      <w:textAlignment w:val="center"/>
    </w:pPr>
    <w:rPr>
      <w:rFonts w:ascii="Century Gothic" w:hAnsi="Century Gothic"/>
      <w:b/>
      <w:bCs/>
      <w:color w:val="000000"/>
    </w:rPr>
  </w:style>
  <w:style w:type="paragraph" w:customStyle="1" w:styleId="style4189">
    <w:name w:val="xl134"/>
    <w:basedOn w:val="style0"/>
    <w:next w:val="style4189"/>
    <w:pPr>
      <w:pBdr>
        <w:left w:val="single" w:sz="4" w:space="0" w:color="auto"/>
        <w:right w:val="single" w:sz="4" w:space="0" w:color="auto"/>
        <w:top w:val="single" w:sz="4" w:space="0" w:color="auto"/>
        <w:bottom w:val="single" w:sz="4" w:space="0" w:color="auto"/>
      </w:pBdr>
      <w:shd w:val="clear" w:color="000000" w:fill="ffff00"/>
      <w:spacing w:before="100" w:beforeAutospacing="true" w:after="100" w:afterAutospacing="true"/>
      <w:jc w:val="center"/>
      <w:textAlignment w:val="center"/>
    </w:pPr>
    <w:rPr>
      <w:rFonts w:ascii="Century Gothic" w:hAnsi="Century Gothic"/>
      <w:color w:val="000000"/>
    </w:rPr>
  </w:style>
  <w:style w:type="paragraph" w:customStyle="1" w:styleId="style4190">
    <w:name w:val="xl135"/>
    <w:basedOn w:val="style0"/>
    <w:next w:val="style4190"/>
    <w:pPr>
      <w:pBdr>
        <w:left w:val="single" w:sz="4" w:space="0" w:color="auto"/>
        <w:right w:val="single" w:sz="4" w:space="0" w:color="auto"/>
        <w:top w:val="single" w:sz="4" w:space="0" w:color="auto"/>
        <w:bottom w:val="single" w:sz="4" w:space="0" w:color="auto"/>
      </w:pBdr>
      <w:shd w:val="clear" w:color="000000" w:fill="ffff00"/>
      <w:spacing w:before="100" w:beforeAutospacing="true" w:after="100" w:afterAutospacing="true"/>
      <w:jc w:val="center"/>
      <w:textAlignment w:val="center"/>
    </w:pPr>
    <w:rPr>
      <w:rFonts w:ascii="Century Gothic" w:hAnsi="Century Gothic"/>
      <w:b/>
      <w:bCs/>
      <w:color w:val="000000"/>
    </w:rPr>
  </w:style>
  <w:style w:type="paragraph" w:customStyle="1" w:styleId="style4191">
    <w:name w:val="xl136"/>
    <w:basedOn w:val="style0"/>
    <w:next w:val="style4191"/>
    <w:pPr>
      <w:pBdr>
        <w:left w:val="single" w:sz="8" w:space="0" w:color="auto"/>
        <w:right w:val="single" w:sz="4" w:space="0" w:color="auto"/>
        <w:top w:val="single" w:sz="4" w:space="0" w:color="auto"/>
        <w:bottom w:val="single" w:sz="4" w:space="0" w:color="auto"/>
      </w:pBdr>
      <w:shd w:val="clear" w:color="000000" w:fill="c4d79b"/>
      <w:spacing w:before="100" w:beforeAutospacing="true" w:after="100" w:afterAutospacing="true"/>
      <w:textAlignment w:val="center"/>
    </w:pPr>
    <w:rPr>
      <w:rFonts w:ascii="Century Gothic" w:hAnsi="Century Gothic"/>
      <w:b/>
      <w:bCs/>
      <w:color w:val="ff0000"/>
    </w:rPr>
  </w:style>
  <w:style w:type="paragraph" w:customStyle="1" w:styleId="style4192">
    <w:name w:val="xl137"/>
    <w:basedOn w:val="style0"/>
    <w:next w:val="style4192"/>
    <w:pPr>
      <w:pBdr>
        <w:left w:val="single" w:sz="4" w:space="0" w:color="auto"/>
        <w:right w:val="single" w:sz="4" w:space="0" w:color="auto"/>
        <w:top w:val="single" w:sz="4" w:space="0" w:color="auto"/>
        <w:bottom w:val="single" w:sz="4" w:space="0" w:color="auto"/>
      </w:pBdr>
      <w:shd w:val="clear" w:color="000000" w:fill="c4d79b"/>
      <w:spacing w:before="100" w:beforeAutospacing="true" w:after="100" w:afterAutospacing="true"/>
      <w:jc w:val="center"/>
      <w:textAlignment w:val="center"/>
    </w:pPr>
    <w:rPr>
      <w:rFonts w:ascii="Century Gothic" w:hAnsi="Century Gothic"/>
      <w:b/>
      <w:bCs/>
      <w:color w:val="000000"/>
    </w:rPr>
  </w:style>
  <w:style w:type="paragraph" w:customStyle="1" w:styleId="style4193">
    <w:name w:val="xl138"/>
    <w:basedOn w:val="style0"/>
    <w:next w:val="style4193"/>
    <w:pPr>
      <w:pBdr>
        <w:left w:val="single" w:sz="4" w:space="0" w:color="auto"/>
        <w:right w:val="single" w:sz="4" w:space="0" w:color="auto"/>
        <w:top w:val="single" w:sz="4" w:space="0" w:color="auto"/>
        <w:bottom w:val="single" w:sz="4" w:space="0" w:color="auto"/>
      </w:pBdr>
      <w:shd w:val="clear" w:color="000000" w:fill="c4d79b"/>
      <w:spacing w:before="100" w:beforeAutospacing="true" w:after="100" w:afterAutospacing="true"/>
      <w:jc w:val="center"/>
      <w:textAlignment w:val="center"/>
    </w:pPr>
    <w:rPr>
      <w:rFonts w:ascii="Century Gothic" w:hAnsi="Century Gothic"/>
      <w:color w:val="000000"/>
    </w:rPr>
  </w:style>
  <w:style w:type="paragraph" w:customStyle="1" w:styleId="style4194">
    <w:name w:val="xl139"/>
    <w:basedOn w:val="style0"/>
    <w:next w:val="style4194"/>
    <w:pPr>
      <w:pBdr>
        <w:left w:val="single" w:sz="4" w:space="0" w:color="auto"/>
        <w:right w:val="single" w:sz="4" w:space="0" w:color="auto"/>
        <w:top w:val="single" w:sz="4" w:space="0" w:color="auto"/>
        <w:bottom w:val="single" w:sz="4" w:space="0" w:color="auto"/>
      </w:pBdr>
      <w:shd w:val="clear" w:color="000000" w:fill="c4d79b"/>
      <w:spacing w:before="100" w:beforeAutospacing="true" w:after="100" w:afterAutospacing="true"/>
      <w:jc w:val="center"/>
      <w:textAlignment w:val="center"/>
    </w:pPr>
    <w:rPr>
      <w:rFonts w:ascii="Century Gothic" w:hAnsi="Century Gothic"/>
      <w:b/>
      <w:bCs/>
      <w:color w:val="ff0000"/>
    </w:rPr>
  </w:style>
  <w:style w:type="paragraph" w:customStyle="1" w:styleId="style4195">
    <w:name w:val="xl140"/>
    <w:basedOn w:val="style0"/>
    <w:next w:val="style4195"/>
    <w:pPr>
      <w:spacing w:before="100" w:beforeAutospacing="true" w:after="100" w:afterAutospacing="true"/>
      <w:jc w:val="center"/>
      <w:textAlignment w:val="center"/>
    </w:pPr>
    <w:rPr>
      <w:rFonts w:ascii="Century Gothic" w:hAnsi="Century Gothic"/>
    </w:rPr>
  </w:style>
  <w:style w:type="paragraph" w:customStyle="1" w:styleId="style4196">
    <w:name w:val="xl141"/>
    <w:basedOn w:val="style0"/>
    <w:next w:val="style4196"/>
    <w:pPr>
      <w:spacing w:before="100" w:beforeAutospacing="true" w:after="100" w:afterAutospacing="true"/>
      <w:textAlignment w:val="center"/>
    </w:pPr>
    <w:rPr>
      <w:rFonts w:ascii="Century Gothic" w:hAnsi="Century Gothic"/>
    </w:rPr>
  </w:style>
  <w:style w:type="paragraph" w:customStyle="1" w:styleId="style4197">
    <w:name w:val="xl142"/>
    <w:basedOn w:val="style0"/>
    <w:next w:val="style4197"/>
    <w:pPr>
      <w:spacing w:before="100" w:beforeAutospacing="true" w:after="100" w:afterAutospacing="true"/>
      <w:jc w:val="center"/>
      <w:textAlignment w:val="center"/>
    </w:pPr>
    <w:rPr>
      <w:rFonts w:ascii="Century Gothic" w:hAnsi="Century Gothic"/>
    </w:rPr>
  </w:style>
  <w:style w:type="paragraph" w:customStyle="1" w:styleId="style4198">
    <w:name w:val="xl143"/>
    <w:basedOn w:val="style0"/>
    <w:next w:val="style4198"/>
    <w:pPr>
      <w:spacing w:before="100" w:beforeAutospacing="true" w:after="100" w:afterAutospacing="true"/>
      <w:jc w:val="center"/>
      <w:textAlignment w:val="center"/>
    </w:pPr>
    <w:rPr>
      <w:rFonts w:ascii="Century Gothic" w:hAnsi="Century Gothic"/>
    </w:rPr>
  </w:style>
  <w:style w:type="paragraph" w:customStyle="1" w:styleId="style4199">
    <w:name w:val="xl144"/>
    <w:basedOn w:val="style0"/>
    <w:next w:val="style4199"/>
    <w:pPr>
      <w:spacing w:before="100" w:beforeAutospacing="true" w:after="100" w:afterAutospacing="true"/>
      <w:jc w:val="center"/>
      <w:textAlignment w:val="center"/>
    </w:pPr>
    <w:rPr>
      <w:rFonts w:ascii="Century Gothic" w:hAnsi="Century Gothic"/>
    </w:rPr>
  </w:style>
  <w:style w:type="paragraph" w:customStyle="1" w:styleId="style4200">
    <w:name w:val="xl145"/>
    <w:basedOn w:val="style0"/>
    <w:next w:val="style4200"/>
    <w:pPr>
      <w:pBdr>
        <w:left w:val="single" w:sz="8" w:space="0" w:color="auto"/>
        <w:top w:val="single" w:sz="4" w:space="0" w:color="auto"/>
        <w:bottom w:val="single" w:sz="4" w:space="0" w:color="auto"/>
      </w:pBdr>
      <w:shd w:val="clear" w:color="000000" w:fill="b8cce4"/>
      <w:spacing w:before="100" w:beforeAutospacing="true" w:after="100" w:afterAutospacing="true"/>
      <w:jc w:val="center"/>
      <w:textAlignment w:val="center"/>
    </w:pPr>
    <w:rPr>
      <w:rFonts w:ascii="Century Gothic" w:hAnsi="Century Gothic"/>
      <w:b/>
      <w:bCs/>
      <w:color w:val="000000"/>
    </w:rPr>
  </w:style>
  <w:style w:type="paragraph" w:customStyle="1" w:styleId="style4201">
    <w:name w:val="xl146"/>
    <w:basedOn w:val="style0"/>
    <w:next w:val="style4201"/>
    <w:pPr>
      <w:pBdr>
        <w:top w:val="single" w:sz="4" w:space="0" w:color="auto"/>
        <w:bottom w:val="single" w:sz="4" w:space="0" w:color="auto"/>
      </w:pBdr>
      <w:shd w:val="clear" w:color="000000" w:fill="b8cce4"/>
      <w:spacing w:before="100" w:beforeAutospacing="true" w:after="100" w:afterAutospacing="true"/>
      <w:jc w:val="center"/>
      <w:textAlignment w:val="center"/>
    </w:pPr>
    <w:rPr>
      <w:rFonts w:ascii="Century Gothic" w:hAnsi="Century Gothic"/>
      <w:b/>
      <w:bCs/>
      <w:color w:val="000000"/>
    </w:rPr>
  </w:style>
  <w:style w:type="paragraph" w:customStyle="1" w:styleId="style4202">
    <w:name w:val="xl147"/>
    <w:basedOn w:val="style0"/>
    <w:next w:val="style4202"/>
    <w:pPr>
      <w:pBdr>
        <w:right w:val="single" w:sz="4" w:space="0" w:color="auto"/>
        <w:top w:val="single" w:sz="4" w:space="0" w:color="auto"/>
        <w:bottom w:val="single" w:sz="4" w:space="0" w:color="auto"/>
      </w:pBdr>
      <w:shd w:val="clear" w:color="000000" w:fill="b8cce4"/>
      <w:spacing w:before="100" w:beforeAutospacing="true" w:after="100" w:afterAutospacing="true"/>
      <w:jc w:val="center"/>
      <w:textAlignment w:val="center"/>
    </w:pPr>
    <w:rPr>
      <w:rFonts w:ascii="Century Gothic" w:hAnsi="Century Gothic"/>
      <w:b/>
      <w:bCs/>
      <w:color w:val="000000"/>
    </w:rPr>
  </w:style>
  <w:style w:type="paragraph" w:customStyle="1" w:styleId="style4203">
    <w:name w:val="xl148"/>
    <w:basedOn w:val="style0"/>
    <w:next w:val="style4203"/>
    <w:pPr>
      <w:pBdr>
        <w:left w:val="single" w:sz="8" w:space="0" w:color="auto"/>
        <w:top w:val="single" w:sz="4" w:space="0" w:color="auto"/>
        <w:bottom w:val="single" w:sz="4" w:space="0" w:color="auto"/>
      </w:pBdr>
      <w:shd w:val="clear" w:color="000000" w:fill="92d050"/>
      <w:spacing w:before="100" w:beforeAutospacing="true" w:after="100" w:afterAutospacing="true"/>
      <w:jc w:val="center"/>
      <w:textAlignment w:val="center"/>
    </w:pPr>
    <w:rPr>
      <w:rFonts w:ascii="Century Gothic" w:hAnsi="Century Gothic"/>
      <w:b/>
      <w:bCs/>
    </w:rPr>
  </w:style>
  <w:style w:type="paragraph" w:customStyle="1" w:styleId="style4204">
    <w:name w:val="xl149"/>
    <w:basedOn w:val="style0"/>
    <w:next w:val="style4204"/>
    <w:pPr>
      <w:pBdr>
        <w:top w:val="single" w:sz="4" w:space="0" w:color="auto"/>
        <w:bottom w:val="single" w:sz="4" w:space="0" w:color="auto"/>
      </w:pBdr>
      <w:shd w:val="clear" w:color="000000" w:fill="92d050"/>
      <w:spacing w:before="100" w:beforeAutospacing="true" w:after="100" w:afterAutospacing="true"/>
      <w:jc w:val="center"/>
      <w:textAlignment w:val="center"/>
    </w:pPr>
    <w:rPr>
      <w:rFonts w:ascii="Century Gothic" w:hAnsi="Century Gothic"/>
      <w:b/>
      <w:bCs/>
    </w:rPr>
  </w:style>
  <w:style w:type="paragraph" w:customStyle="1" w:styleId="style4205">
    <w:name w:val="xl150"/>
    <w:basedOn w:val="style0"/>
    <w:next w:val="style4205"/>
    <w:pPr>
      <w:pBdr>
        <w:right w:val="single" w:sz="4" w:space="0" w:color="auto"/>
        <w:top w:val="single" w:sz="4" w:space="0" w:color="auto"/>
        <w:bottom w:val="single" w:sz="4" w:space="0" w:color="auto"/>
      </w:pBdr>
      <w:shd w:val="clear" w:color="000000" w:fill="92d050"/>
      <w:spacing w:before="100" w:beforeAutospacing="true" w:after="100" w:afterAutospacing="true"/>
      <w:jc w:val="center"/>
      <w:textAlignment w:val="center"/>
    </w:pPr>
    <w:rPr>
      <w:rFonts w:ascii="Century Gothic" w:hAnsi="Century Gothic"/>
      <w:b/>
      <w:bCs/>
    </w:rPr>
  </w:style>
  <w:style w:type="paragraph" w:customStyle="1" w:styleId="style4206">
    <w:name w:val="xl151"/>
    <w:basedOn w:val="style0"/>
    <w:next w:val="style4206"/>
    <w:pPr>
      <w:pBdr>
        <w:left w:val="single" w:sz="8" w:space="0" w:color="auto"/>
        <w:top w:val="single" w:sz="4" w:space="0" w:color="auto"/>
        <w:bottom w:val="single" w:sz="4" w:space="0" w:color="auto"/>
      </w:pBdr>
      <w:shd w:val="clear" w:color="000000" w:fill="92d050"/>
      <w:spacing w:before="100" w:beforeAutospacing="true" w:after="100" w:afterAutospacing="true"/>
      <w:jc w:val="center"/>
      <w:textAlignment w:val="center"/>
    </w:pPr>
    <w:rPr>
      <w:rFonts w:ascii="Century Gothic" w:hAnsi="Century Gothic"/>
      <w:b/>
      <w:bCs/>
      <w:i/>
      <w:iCs/>
      <w:color w:val="000000"/>
    </w:rPr>
  </w:style>
  <w:style w:type="paragraph" w:customStyle="1" w:styleId="style4207">
    <w:name w:val="xl152"/>
    <w:basedOn w:val="style0"/>
    <w:next w:val="style4207"/>
    <w:pPr>
      <w:pBdr>
        <w:top w:val="single" w:sz="4" w:space="0" w:color="auto"/>
        <w:bottom w:val="single" w:sz="4" w:space="0" w:color="auto"/>
      </w:pBdr>
      <w:shd w:val="clear" w:color="000000" w:fill="92d050"/>
      <w:spacing w:before="100" w:beforeAutospacing="true" w:after="100" w:afterAutospacing="true"/>
      <w:jc w:val="center"/>
      <w:textAlignment w:val="center"/>
    </w:pPr>
    <w:rPr>
      <w:rFonts w:ascii="Century Gothic" w:hAnsi="Century Gothic"/>
      <w:b/>
      <w:bCs/>
      <w:i/>
      <w:iCs/>
      <w:color w:val="000000"/>
    </w:rPr>
  </w:style>
  <w:style w:type="paragraph" w:customStyle="1" w:styleId="style4208">
    <w:name w:val="xl153"/>
    <w:basedOn w:val="style0"/>
    <w:next w:val="style4208"/>
    <w:pPr>
      <w:pBdr>
        <w:right w:val="single" w:sz="4" w:space="0" w:color="auto"/>
        <w:top w:val="single" w:sz="4" w:space="0" w:color="auto"/>
        <w:bottom w:val="single" w:sz="4" w:space="0" w:color="auto"/>
      </w:pBdr>
      <w:shd w:val="clear" w:color="000000" w:fill="92d050"/>
      <w:spacing w:before="100" w:beforeAutospacing="true" w:after="100" w:afterAutospacing="true"/>
      <w:jc w:val="center"/>
      <w:textAlignment w:val="center"/>
    </w:pPr>
    <w:rPr>
      <w:rFonts w:ascii="Century Gothic" w:hAnsi="Century Gothic"/>
      <w:b/>
      <w:bCs/>
      <w:i/>
      <w:iCs/>
      <w:color w:val="000000"/>
    </w:rPr>
  </w:style>
  <w:style w:type="paragraph" w:customStyle="1" w:styleId="style4209">
    <w:name w:val="xl154"/>
    <w:basedOn w:val="style0"/>
    <w:next w:val="style4209"/>
    <w:pPr>
      <w:pBdr>
        <w:left w:val="single" w:sz="4" w:space="0" w:color="auto"/>
        <w:top w:val="single" w:sz="8" w:space="0" w:color="auto"/>
        <w:bottom w:val="single" w:sz="4" w:space="0" w:color="auto"/>
      </w:pBdr>
      <w:spacing w:before="100" w:beforeAutospacing="true" w:after="100" w:afterAutospacing="true"/>
      <w:jc w:val="center"/>
      <w:textAlignment w:val="center"/>
    </w:pPr>
    <w:rPr>
      <w:rFonts w:ascii="Century Gothic" w:hAnsi="Century Gothic"/>
      <w:b/>
      <w:bCs/>
    </w:rPr>
  </w:style>
  <w:style w:type="paragraph" w:customStyle="1" w:styleId="style4210">
    <w:name w:val="xl155"/>
    <w:basedOn w:val="style0"/>
    <w:next w:val="style4210"/>
    <w:pPr>
      <w:pBdr>
        <w:right w:val="single" w:sz="8" w:space="0" w:color="auto"/>
        <w:top w:val="single" w:sz="8" w:space="0" w:color="auto"/>
        <w:bottom w:val="single" w:sz="4" w:space="0" w:color="auto"/>
      </w:pBdr>
      <w:spacing w:before="100" w:beforeAutospacing="true" w:after="100" w:afterAutospacing="true"/>
      <w:jc w:val="center"/>
      <w:textAlignment w:val="center"/>
    </w:pPr>
    <w:rPr>
      <w:rFonts w:ascii="Century Gothic" w:hAnsi="Century Gothic"/>
      <w:b/>
      <w:bCs/>
    </w:rPr>
  </w:style>
  <w:style w:type="paragraph" w:customStyle="1" w:styleId="style4211">
    <w:name w:val="font7"/>
    <w:basedOn w:val="style0"/>
    <w:next w:val="style4211"/>
    <w:pPr>
      <w:spacing w:before="100" w:beforeAutospacing="true" w:after="100" w:afterAutospacing="true"/>
    </w:pPr>
    <w:rPr>
      <w:b/>
      <w:bCs/>
      <w:color w:val="ff0000"/>
    </w:rPr>
  </w:style>
  <w:style w:type="paragraph" w:customStyle="1" w:styleId="style4212">
    <w:name w:val="xl156"/>
    <w:basedOn w:val="style0"/>
    <w:next w:val="style4212"/>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i/>
      <w:iCs/>
    </w:rPr>
  </w:style>
  <w:style w:type="paragraph" w:customStyle="1" w:styleId="style4213">
    <w:name w:val="xl157"/>
    <w:basedOn w:val="style0"/>
    <w:next w:val="style4213"/>
    <w:pPr>
      <w:pBdr>
        <w:left w:val="single" w:sz="8" w:space="0" w:color="auto"/>
        <w:right w:val="single" w:sz="4" w:space="0" w:color="auto"/>
        <w:top w:val="single" w:sz="4" w:space="0" w:color="auto"/>
        <w:bottom w:val="single" w:sz="4" w:space="0" w:color="auto"/>
      </w:pBdr>
      <w:spacing w:before="100" w:beforeAutospacing="true" w:after="100" w:afterAutospacing="true"/>
      <w:jc w:val="both"/>
      <w:textAlignment w:val="center"/>
    </w:pPr>
    <w:rPr>
      <w:b/>
      <w:bCs/>
    </w:rPr>
  </w:style>
  <w:style w:type="paragraph" w:customStyle="1" w:styleId="style4214">
    <w:name w:val="xl158"/>
    <w:basedOn w:val="style0"/>
    <w:next w:val="style4214"/>
    <w:pPr>
      <w:pBdr>
        <w:left w:val="single" w:sz="4" w:space="0" w:color="auto"/>
        <w:right w:val="single" w:sz="8" w:space="0" w:color="auto"/>
        <w:top w:val="single" w:sz="4" w:space="0" w:color="auto"/>
        <w:bottom w:val="single" w:sz="4" w:space="0" w:color="auto"/>
      </w:pBdr>
      <w:shd w:val="clear" w:color="000000" w:fill="d9d9d9"/>
      <w:spacing w:before="100" w:beforeAutospacing="true" w:after="100" w:afterAutospacing="true"/>
      <w:jc w:val="center"/>
      <w:textAlignment w:val="center"/>
    </w:pPr>
    <w:rPr>
      <w:b/>
      <w:bCs/>
      <w:i/>
      <w:iCs/>
      <w:color w:val="000000"/>
    </w:rPr>
  </w:style>
  <w:style w:type="paragraph" w:customStyle="1" w:styleId="style4215">
    <w:name w:val="xl159"/>
    <w:basedOn w:val="style0"/>
    <w:next w:val="style4215"/>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b/>
      <w:bCs/>
    </w:rPr>
  </w:style>
  <w:style w:type="paragraph" w:customStyle="1" w:styleId="style4216">
    <w:name w:val="xl160"/>
    <w:basedOn w:val="style0"/>
    <w:next w:val="style4216"/>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b/>
      <w:bCs/>
      <w:i/>
      <w:iCs/>
      <w:color w:val="000000"/>
    </w:rPr>
  </w:style>
  <w:style w:type="paragraph" w:customStyle="1" w:styleId="style4217">
    <w:name w:val="xl161"/>
    <w:basedOn w:val="style0"/>
    <w:next w:val="style4217"/>
    <w:pPr>
      <w:pBdr>
        <w:left w:val="single" w:sz="4" w:space="0" w:color="auto"/>
        <w:right w:val="single" w:sz="8" w:space="0" w:color="auto"/>
        <w:top w:val="single" w:sz="4" w:space="0" w:color="auto"/>
        <w:bottom w:val="single" w:sz="4" w:space="0" w:color="auto"/>
      </w:pBdr>
      <w:shd w:val="clear" w:color="000000" w:fill="b8cce4"/>
      <w:spacing w:before="100" w:beforeAutospacing="true" w:after="100" w:afterAutospacing="true"/>
      <w:textAlignment w:val="center"/>
    </w:pPr>
    <w:rPr>
      <w:b/>
      <w:bCs/>
      <w:color w:val="000000"/>
    </w:rPr>
  </w:style>
  <w:style w:type="paragraph" w:customStyle="1" w:styleId="style4218">
    <w:name w:val="xl162"/>
    <w:basedOn w:val="style0"/>
    <w:next w:val="style4218"/>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style>
  <w:style w:type="paragraph" w:customStyle="1" w:styleId="style4219">
    <w:name w:val="xl163"/>
    <w:basedOn w:val="style0"/>
    <w:next w:val="style4219"/>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color w:val="000000"/>
    </w:rPr>
  </w:style>
  <w:style w:type="paragraph" w:customStyle="1" w:styleId="style4220">
    <w:name w:val="xl164"/>
    <w:basedOn w:val="style0"/>
    <w:next w:val="style4220"/>
    <w:pPr>
      <w:pBdr>
        <w:left w:val="single" w:sz="8" w:space="0" w:color="auto"/>
        <w:right w:val="single" w:sz="4" w:space="0" w:color="auto"/>
        <w:top w:val="single" w:sz="4" w:space="0" w:color="auto"/>
        <w:bottom w:val="single" w:sz="4" w:space="0" w:color="auto"/>
      </w:pBdr>
      <w:shd w:val="clear" w:color="000000" w:fill="ffffff"/>
      <w:spacing w:before="100" w:beforeAutospacing="true" w:after="100" w:afterAutospacing="true"/>
      <w:textAlignment w:val="center"/>
    </w:pPr>
    <w:rPr/>
  </w:style>
  <w:style w:type="paragraph" w:customStyle="1" w:styleId="style4221">
    <w:name w:val="xl165"/>
    <w:basedOn w:val="style0"/>
    <w:next w:val="style4221"/>
    <w:pPr>
      <w:pBdr>
        <w:left w:val="single" w:sz="8" w:space="0" w:color="auto"/>
        <w:right w:val="single" w:sz="4" w:space="0" w:color="auto"/>
        <w:top w:val="single" w:sz="4" w:space="0" w:color="auto"/>
        <w:bottom w:val="single" w:sz="4" w:space="0" w:color="auto"/>
      </w:pBdr>
      <w:shd w:val="clear" w:color="000000" w:fill="ffffff"/>
      <w:spacing w:before="100" w:beforeAutospacing="true" w:after="100" w:afterAutospacing="true"/>
      <w:textAlignment w:val="center"/>
    </w:pPr>
    <w:rPr/>
  </w:style>
  <w:style w:type="paragraph" w:customStyle="1" w:styleId="style4222">
    <w:name w:val="xl166"/>
    <w:basedOn w:val="style0"/>
    <w:next w:val="style4222"/>
    <w:pPr>
      <w:pBdr>
        <w:left w:val="single" w:sz="4" w:space="0" w:color="auto"/>
        <w:right w:val="single" w:sz="8" w:space="0" w:color="auto"/>
        <w:top w:val="single" w:sz="4" w:space="0" w:color="auto"/>
        <w:bottom w:val="single" w:sz="4" w:space="0" w:color="auto"/>
      </w:pBdr>
      <w:shd w:val="clear" w:color="000000" w:fill="ffff00"/>
      <w:spacing w:before="100" w:beforeAutospacing="true" w:after="100" w:afterAutospacing="true"/>
      <w:jc w:val="center"/>
      <w:textAlignment w:val="center"/>
    </w:pPr>
    <w:rPr>
      <w:b/>
      <w:bCs/>
      <w:i/>
      <w:iCs/>
      <w:color w:val="000000"/>
    </w:rPr>
  </w:style>
  <w:style w:type="paragraph" w:customStyle="1" w:styleId="style4223">
    <w:name w:val="xl167"/>
    <w:basedOn w:val="style0"/>
    <w:next w:val="style4223"/>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sz w:val="22"/>
      <w:szCs w:val="22"/>
    </w:rPr>
  </w:style>
  <w:style w:type="paragraph" w:customStyle="1" w:styleId="style4224">
    <w:name w:val="xl168"/>
    <w:basedOn w:val="style0"/>
    <w:next w:val="style4224"/>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sz w:val="22"/>
      <w:szCs w:val="22"/>
    </w:rPr>
  </w:style>
  <w:style w:type="paragraph" w:customStyle="1" w:styleId="style4225">
    <w:name w:val="xl169"/>
    <w:basedOn w:val="style0"/>
    <w:next w:val="style4225"/>
    <w:pPr>
      <w:pBdr>
        <w:left w:val="single" w:sz="8" w:space="0" w:color="auto"/>
        <w:right w:val="single" w:sz="4" w:space="0" w:color="auto"/>
        <w:top w:val="single" w:sz="4" w:space="0" w:color="auto"/>
        <w:bottom w:val="single" w:sz="4" w:space="0" w:color="auto"/>
      </w:pBdr>
      <w:spacing w:before="100" w:beforeAutospacing="true" w:after="100" w:afterAutospacing="true"/>
      <w:textAlignment w:val="center"/>
    </w:pPr>
    <w:rPr>
      <w:b/>
      <w:bCs/>
      <w:color w:val="000000"/>
    </w:rPr>
  </w:style>
  <w:style w:type="paragraph" w:customStyle="1" w:styleId="style4226">
    <w:name w:val="xl170"/>
    <w:basedOn w:val="style0"/>
    <w:next w:val="style4226"/>
    <w:pPr>
      <w:pBdr>
        <w:left w:val="single" w:sz="4" w:space="0" w:color="auto"/>
        <w:right w:val="single" w:sz="8" w:space="0" w:color="auto"/>
        <w:top w:val="single" w:sz="4" w:space="0" w:color="auto"/>
        <w:bottom w:val="single" w:sz="4" w:space="0" w:color="auto"/>
      </w:pBdr>
      <w:shd w:val="clear" w:color="000000" w:fill="d9d9d9"/>
      <w:spacing w:before="100" w:beforeAutospacing="true" w:after="100" w:afterAutospacing="true"/>
      <w:jc w:val="center"/>
      <w:textAlignment w:val="center"/>
    </w:pPr>
    <w:rPr>
      <w:color w:val="000000"/>
    </w:rPr>
  </w:style>
  <w:style w:type="paragraph" w:customStyle="1" w:styleId="style4227">
    <w:name w:val="xl171"/>
    <w:basedOn w:val="style0"/>
    <w:next w:val="style4227"/>
    <w:pPr>
      <w:pBdr>
        <w:left w:val="single" w:sz="8" w:space="0" w:color="auto"/>
        <w:right w:val="single" w:sz="4" w:space="0" w:color="auto"/>
        <w:top w:val="single" w:sz="4" w:space="0" w:color="auto"/>
        <w:bottom w:val="single" w:sz="4" w:space="0" w:color="auto"/>
      </w:pBdr>
      <w:spacing w:before="100" w:beforeAutospacing="true" w:after="100" w:afterAutospacing="true"/>
      <w:jc w:val="both"/>
      <w:textAlignment w:val="center"/>
    </w:pPr>
    <w:rPr/>
  </w:style>
  <w:style w:type="paragraph" w:customStyle="1" w:styleId="style4228">
    <w:name w:val="xl172"/>
    <w:basedOn w:val="style0"/>
    <w:next w:val="style4228"/>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i/>
      <w:iCs/>
      <w:color w:val="000000"/>
    </w:rPr>
  </w:style>
  <w:style w:type="paragraph" w:customStyle="1" w:styleId="style4229">
    <w:name w:val="xl173"/>
    <w:basedOn w:val="style0"/>
    <w:next w:val="style4229"/>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b/>
      <w:bCs/>
      <w:color w:val="000000"/>
    </w:rPr>
  </w:style>
  <w:style w:type="paragraph" w:customStyle="1" w:styleId="style4230">
    <w:name w:val="xl174"/>
    <w:basedOn w:val="style0"/>
    <w:next w:val="style4230"/>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b/>
      <w:bCs/>
    </w:rPr>
  </w:style>
  <w:style w:type="paragraph" w:customStyle="1" w:styleId="style4231">
    <w:name w:val="xl175"/>
    <w:basedOn w:val="style0"/>
    <w:next w:val="style4231"/>
    <w:pPr>
      <w:pBdr>
        <w:left w:val="single" w:sz="8" w:space="0" w:color="auto"/>
        <w:right w:val="single" w:sz="4" w:space="0" w:color="auto"/>
        <w:top w:val="single" w:sz="4" w:space="0" w:color="auto"/>
        <w:bottom w:val="single" w:sz="8" w:space="0" w:color="auto"/>
      </w:pBdr>
      <w:shd w:val="clear" w:color="000000" w:fill="92d050"/>
      <w:spacing w:before="100" w:beforeAutospacing="true" w:after="100" w:afterAutospacing="true"/>
      <w:textAlignment w:val="center"/>
    </w:pPr>
    <w:rPr>
      <w:b/>
      <w:bCs/>
    </w:rPr>
  </w:style>
  <w:style w:type="paragraph" w:customStyle="1" w:styleId="style4232">
    <w:name w:val="xl176"/>
    <w:basedOn w:val="style0"/>
    <w:next w:val="style4232"/>
    <w:pPr>
      <w:pBdr>
        <w:left w:val="single" w:sz="4" w:space="0" w:color="auto"/>
        <w:right w:val="single" w:sz="4" w:space="0" w:color="auto"/>
        <w:top w:val="single" w:sz="4" w:space="0" w:color="auto"/>
        <w:bottom w:val="single" w:sz="8" w:space="0" w:color="auto"/>
      </w:pBdr>
      <w:shd w:val="clear" w:color="000000" w:fill="92d050"/>
      <w:spacing w:before="100" w:beforeAutospacing="true" w:after="100" w:afterAutospacing="true"/>
      <w:jc w:val="center"/>
      <w:textAlignment w:val="center"/>
    </w:pPr>
    <w:rPr>
      <w:b/>
      <w:bCs/>
    </w:rPr>
  </w:style>
  <w:style w:type="paragraph" w:customStyle="1" w:styleId="style4233">
    <w:name w:val="xl177"/>
    <w:basedOn w:val="style0"/>
    <w:next w:val="style4233"/>
    <w:pPr>
      <w:pBdr>
        <w:left w:val="single" w:sz="4" w:space="0" w:color="auto"/>
        <w:right w:val="single" w:sz="4" w:space="0" w:color="auto"/>
        <w:top w:val="single" w:sz="4" w:space="0" w:color="auto"/>
        <w:bottom w:val="single" w:sz="8" w:space="0" w:color="auto"/>
      </w:pBdr>
      <w:shd w:val="clear" w:color="000000" w:fill="92d050"/>
      <w:spacing w:before="100" w:beforeAutospacing="true" w:after="100" w:afterAutospacing="true"/>
      <w:jc w:val="center"/>
      <w:textAlignment w:val="center"/>
    </w:pPr>
    <w:rPr>
      <w:b/>
      <w:bCs/>
    </w:rPr>
  </w:style>
  <w:style w:type="paragraph" w:customStyle="1" w:styleId="style4234">
    <w:name w:val="xl178"/>
    <w:basedOn w:val="style0"/>
    <w:next w:val="style4234"/>
    <w:pPr>
      <w:pBdr>
        <w:left w:val="single" w:sz="4" w:space="0" w:color="auto"/>
        <w:right w:val="single" w:sz="4" w:space="0" w:color="auto"/>
        <w:top w:val="single" w:sz="4" w:space="0" w:color="auto"/>
        <w:bottom w:val="single" w:sz="8" w:space="0" w:color="auto"/>
      </w:pBdr>
      <w:shd w:val="clear" w:color="000000" w:fill="92d050"/>
      <w:spacing w:before="100" w:beforeAutospacing="true" w:after="100" w:afterAutospacing="true"/>
      <w:jc w:val="center"/>
      <w:textAlignment w:val="center"/>
    </w:pPr>
    <w:rPr>
      <w:b/>
      <w:bCs/>
    </w:rPr>
  </w:style>
  <w:style w:type="paragraph" w:customStyle="1" w:styleId="style4235">
    <w:name w:val="xl179"/>
    <w:basedOn w:val="style0"/>
    <w:next w:val="style4235"/>
    <w:pPr>
      <w:pBdr>
        <w:left w:val="single" w:sz="4" w:space="0" w:color="auto"/>
        <w:right w:val="single" w:sz="4" w:space="0" w:color="auto"/>
        <w:top w:val="single" w:sz="4" w:space="0" w:color="auto"/>
        <w:bottom w:val="single" w:sz="4" w:space="0" w:color="auto"/>
      </w:pBdr>
      <w:shd w:val="clear" w:color="000000" w:fill="b7dee8"/>
      <w:spacing w:before="100" w:beforeAutospacing="true" w:after="100" w:afterAutospacing="true"/>
      <w:jc w:val="center"/>
      <w:textAlignment w:val="center"/>
    </w:pPr>
    <w:rPr>
      <w:color w:val="000000"/>
    </w:rPr>
  </w:style>
  <w:style w:type="paragraph" w:customStyle="1" w:styleId="style4236">
    <w:name w:val="xl180"/>
    <w:basedOn w:val="style0"/>
    <w:next w:val="style4236"/>
    <w:pPr>
      <w:pBdr>
        <w:left w:val="single" w:sz="4" w:space="0" w:color="auto"/>
        <w:right w:val="single" w:sz="8" w:space="0" w:color="auto"/>
        <w:top w:val="single" w:sz="4" w:space="0" w:color="auto"/>
        <w:bottom w:val="single" w:sz="4" w:space="0" w:color="auto"/>
      </w:pBdr>
      <w:spacing w:before="100" w:beforeAutospacing="true" w:after="100" w:afterAutospacing="true"/>
      <w:jc w:val="center"/>
      <w:textAlignment w:val="center"/>
    </w:pPr>
    <w:rPr>
      <w:i/>
      <w:iCs/>
    </w:rPr>
  </w:style>
  <w:style w:type="paragraph" w:customStyle="1" w:styleId="style4237">
    <w:name w:val="xl181"/>
    <w:basedOn w:val="style0"/>
    <w:next w:val="style4237"/>
    <w:pPr>
      <w:pBdr>
        <w:left w:val="single" w:sz="4" w:space="0" w:color="auto"/>
        <w:right w:val="single" w:sz="4" w:space="0" w:color="auto"/>
        <w:top w:val="single" w:sz="4" w:space="0" w:color="auto"/>
        <w:bottom w:val="single" w:sz="4" w:space="0" w:color="auto"/>
      </w:pBdr>
      <w:shd w:val="clear" w:color="000000" w:fill="b7dee8"/>
      <w:spacing w:before="100" w:beforeAutospacing="true" w:after="100" w:afterAutospacing="true"/>
      <w:jc w:val="center"/>
      <w:textAlignment w:val="center"/>
    </w:pPr>
    <w:rPr/>
  </w:style>
  <w:style w:type="paragraph" w:customStyle="1" w:styleId="style4238">
    <w:name w:val="xl182"/>
    <w:basedOn w:val="style0"/>
    <w:next w:val="style4238"/>
    <w:pPr>
      <w:pBdr>
        <w:left w:val="single" w:sz="4" w:space="0" w:color="auto"/>
        <w:right w:val="single" w:sz="4" w:space="0" w:color="auto"/>
        <w:top w:val="single" w:sz="4" w:space="0" w:color="auto"/>
        <w:bottom w:val="single" w:sz="4" w:space="0" w:color="auto"/>
      </w:pBdr>
      <w:shd w:val="clear" w:color="000000" w:fill="b7dee8"/>
      <w:spacing w:before="100" w:beforeAutospacing="true" w:after="100" w:afterAutospacing="true"/>
      <w:jc w:val="center"/>
      <w:textAlignment w:val="center"/>
    </w:pPr>
    <w:rPr/>
  </w:style>
  <w:style w:type="paragraph" w:customStyle="1" w:styleId="style4239">
    <w:name w:val="xl183"/>
    <w:basedOn w:val="style0"/>
    <w:next w:val="style4239"/>
    <w:pPr>
      <w:pBdr>
        <w:left w:val="single" w:sz="4" w:space="0" w:color="auto"/>
        <w:right w:val="single" w:sz="4" w:space="0" w:color="auto"/>
        <w:top w:val="single" w:sz="4" w:space="0" w:color="auto"/>
        <w:bottom w:val="single" w:sz="4" w:space="0" w:color="auto"/>
      </w:pBdr>
      <w:shd w:val="clear" w:color="000000" w:fill="ffff00"/>
      <w:spacing w:before="100" w:beforeAutospacing="true" w:after="100" w:afterAutospacing="true"/>
      <w:jc w:val="center"/>
      <w:textAlignment w:val="center"/>
    </w:pPr>
    <w:rPr/>
  </w:style>
  <w:style w:type="paragraph" w:customStyle="1" w:styleId="style4240">
    <w:name w:val="xl184"/>
    <w:basedOn w:val="style0"/>
    <w:next w:val="style4240"/>
    <w:pPr>
      <w:pBdr>
        <w:left w:val="single" w:sz="4" w:space="0" w:color="auto"/>
        <w:right w:val="single" w:sz="8" w:space="0" w:color="auto"/>
        <w:top w:val="single" w:sz="4" w:space="0" w:color="auto"/>
        <w:bottom w:val="single" w:sz="4" w:space="0" w:color="auto"/>
      </w:pBdr>
      <w:shd w:val="clear" w:color="000000" w:fill="ffff00"/>
      <w:spacing w:before="100" w:beforeAutospacing="true" w:after="100" w:afterAutospacing="true"/>
      <w:jc w:val="center"/>
      <w:textAlignment w:val="center"/>
    </w:pPr>
    <w:rPr/>
  </w:style>
  <w:style w:type="paragraph" w:customStyle="1" w:styleId="style4241">
    <w:name w:val="xl185"/>
    <w:basedOn w:val="style0"/>
    <w:next w:val="style4241"/>
    <w:pPr>
      <w:pBdr>
        <w:left w:val="single" w:sz="4" w:space="0" w:color="auto"/>
        <w:top w:val="single" w:sz="8" w:space="0" w:color="auto"/>
        <w:bottom w:val="single" w:sz="4" w:space="0" w:color="auto"/>
      </w:pBdr>
      <w:spacing w:before="100" w:beforeAutospacing="true" w:after="100" w:afterAutospacing="true"/>
      <w:jc w:val="center"/>
      <w:textAlignment w:val="center"/>
    </w:pPr>
    <w:rPr>
      <w:b/>
      <w:bCs/>
    </w:rPr>
  </w:style>
  <w:style w:type="paragraph" w:customStyle="1" w:styleId="style4242">
    <w:name w:val="xl186"/>
    <w:basedOn w:val="style0"/>
    <w:next w:val="style4242"/>
    <w:pPr>
      <w:pBdr>
        <w:right w:val="single" w:sz="8" w:space="0" w:color="auto"/>
        <w:top w:val="single" w:sz="8" w:space="0" w:color="auto"/>
        <w:bottom w:val="single" w:sz="4" w:space="0" w:color="auto"/>
      </w:pBdr>
      <w:spacing w:before="100" w:beforeAutospacing="true" w:after="100" w:afterAutospacing="true"/>
      <w:jc w:val="center"/>
      <w:textAlignment w:val="center"/>
    </w:pPr>
    <w:rPr>
      <w:b/>
      <w:bCs/>
    </w:rPr>
  </w:style>
  <w:style w:type="paragraph" w:customStyle="1" w:styleId="style4243">
    <w:name w:val="xl187"/>
    <w:basedOn w:val="style0"/>
    <w:next w:val="style4243"/>
    <w:pPr>
      <w:pBdr>
        <w:left w:val="single" w:sz="8" w:space="0" w:color="auto"/>
        <w:right w:val="single" w:sz="4" w:space="0" w:color="auto"/>
        <w:top w:val="single" w:sz="4" w:space="0" w:color="auto"/>
        <w:bottom w:val="single" w:sz="4" w:space="0" w:color="auto"/>
      </w:pBdr>
      <w:shd w:val="clear" w:color="000000" w:fill="b8cce4"/>
      <w:spacing w:before="100" w:beforeAutospacing="true" w:after="100" w:afterAutospacing="true"/>
      <w:jc w:val="center"/>
      <w:textAlignment w:val="center"/>
    </w:pPr>
    <w:rPr>
      <w:b/>
      <w:bCs/>
      <w:color w:val="000000"/>
    </w:rPr>
  </w:style>
  <w:style w:type="paragraph" w:customStyle="1" w:styleId="style4244">
    <w:name w:val="xl188"/>
    <w:basedOn w:val="style0"/>
    <w:next w:val="style4244"/>
    <w:pPr>
      <w:pBdr>
        <w:left w:val="single" w:sz="4" w:space="0" w:color="auto"/>
        <w:right w:val="single" w:sz="4" w:space="0" w:color="auto"/>
        <w:top w:val="single" w:sz="4" w:space="0" w:color="auto"/>
        <w:bottom w:val="single" w:sz="4" w:space="0" w:color="auto"/>
      </w:pBdr>
      <w:shd w:val="clear" w:color="000000" w:fill="b8cce4"/>
      <w:spacing w:before="100" w:beforeAutospacing="true" w:after="100" w:afterAutospacing="true"/>
      <w:jc w:val="center"/>
      <w:textAlignment w:val="center"/>
    </w:pPr>
    <w:rPr>
      <w:b/>
      <w:bCs/>
      <w:color w:val="000000"/>
    </w:rPr>
  </w:style>
  <w:style w:type="paragraph" w:customStyle="1" w:styleId="style4245">
    <w:name w:val="xl189"/>
    <w:basedOn w:val="style0"/>
    <w:next w:val="style4245"/>
    <w:pPr>
      <w:pBdr>
        <w:left w:val="single" w:sz="8" w:space="0" w:color="auto"/>
        <w:right w:val="single" w:sz="4" w:space="0" w:color="auto"/>
        <w:top w:val="single" w:sz="4" w:space="0" w:color="auto"/>
        <w:bottom w:val="single" w:sz="4" w:space="0" w:color="auto"/>
      </w:pBdr>
      <w:shd w:val="clear" w:color="000000" w:fill="92d050"/>
      <w:spacing w:before="100" w:beforeAutospacing="true" w:after="100" w:afterAutospacing="true"/>
      <w:jc w:val="center"/>
      <w:textAlignment w:val="center"/>
    </w:pPr>
    <w:rPr>
      <w:b/>
      <w:bCs/>
    </w:rPr>
  </w:style>
  <w:style w:type="paragraph" w:customStyle="1" w:styleId="style4246">
    <w:name w:val="xl190"/>
    <w:basedOn w:val="style0"/>
    <w:next w:val="style4246"/>
    <w:pPr>
      <w:pBdr>
        <w:left w:val="single" w:sz="4" w:space="0" w:color="auto"/>
        <w:right w:val="single" w:sz="4" w:space="0" w:color="auto"/>
        <w:top w:val="single" w:sz="4" w:space="0" w:color="auto"/>
        <w:bottom w:val="single" w:sz="4" w:space="0" w:color="auto"/>
      </w:pBdr>
      <w:shd w:val="clear" w:color="000000" w:fill="92d050"/>
      <w:spacing w:before="100" w:beforeAutospacing="true" w:after="100" w:afterAutospacing="true"/>
      <w:jc w:val="center"/>
      <w:textAlignment w:val="center"/>
    </w:pPr>
    <w:rPr>
      <w:b/>
      <w:bCs/>
    </w:rPr>
  </w:style>
  <w:style w:type="paragraph" w:customStyle="1" w:styleId="style4247">
    <w:name w:val="xl191"/>
    <w:basedOn w:val="style0"/>
    <w:next w:val="style4247"/>
    <w:pPr>
      <w:pBdr>
        <w:left w:val="single" w:sz="8" w:space="0" w:color="auto"/>
        <w:right w:val="single" w:sz="4" w:space="0" w:color="auto"/>
        <w:top w:val="single" w:sz="4" w:space="0" w:color="auto"/>
        <w:bottom w:val="single" w:sz="4" w:space="0" w:color="auto"/>
      </w:pBdr>
      <w:shd w:val="clear" w:color="000000" w:fill="92d050"/>
      <w:spacing w:before="100" w:beforeAutospacing="true" w:after="100" w:afterAutospacing="true"/>
      <w:jc w:val="center"/>
      <w:textAlignment w:val="top"/>
    </w:pPr>
    <w:rPr>
      <w:b/>
      <w:bCs/>
      <w:i/>
      <w:iCs/>
      <w:color w:val="000000"/>
    </w:rPr>
  </w:style>
  <w:style w:type="paragraph" w:customStyle="1" w:styleId="style4248">
    <w:name w:val="xl192"/>
    <w:basedOn w:val="style0"/>
    <w:next w:val="style4248"/>
    <w:pPr>
      <w:pBdr>
        <w:left w:val="single" w:sz="4" w:space="0" w:color="auto"/>
        <w:right w:val="single" w:sz="4" w:space="0" w:color="auto"/>
        <w:top w:val="single" w:sz="4" w:space="0" w:color="auto"/>
        <w:bottom w:val="single" w:sz="4" w:space="0" w:color="auto"/>
      </w:pBdr>
      <w:shd w:val="clear" w:color="000000" w:fill="92d050"/>
      <w:spacing w:before="100" w:beforeAutospacing="true" w:after="100" w:afterAutospacing="true"/>
      <w:jc w:val="center"/>
      <w:textAlignment w:val="top"/>
    </w:pPr>
    <w:rPr>
      <w:b/>
      <w:bCs/>
      <w:i/>
      <w:iCs/>
      <w:color w:val="000000"/>
    </w:rPr>
  </w:style>
  <w:style w:type="paragraph" w:styleId="style43">
    <w:name w:val="endnote text"/>
    <w:basedOn w:val="style0"/>
    <w:next w:val="style43"/>
    <w:link w:val="style4249"/>
    <w:uiPriority w:val="99"/>
    <w:pPr/>
    <w:rPr>
      <w:sz w:val="20"/>
      <w:szCs w:val="20"/>
    </w:rPr>
  </w:style>
  <w:style w:type="character" w:customStyle="1" w:styleId="style4249">
    <w:name w:val="Note de fin Car"/>
    <w:basedOn w:val="style65"/>
    <w:next w:val="style4249"/>
    <w:link w:val="style43"/>
    <w:uiPriority w:val="99"/>
    <w:rPr>
      <w:rFonts w:ascii="Times New Roman" w:cs="Times New Roman" w:eastAsia="Times New Roman" w:hAnsi="Times New Roman"/>
      <w:sz w:val="20"/>
      <w:szCs w:val="20"/>
      <w:lang w:eastAsia="fr-FR"/>
    </w:rPr>
  </w:style>
  <w:style w:type="character" w:styleId="style42">
    <w:name w:val="endnote reference"/>
    <w:basedOn w:val="style65"/>
    <w:next w:val="style42"/>
    <w:uiPriority w:val="99"/>
    <w:rPr>
      <w:vertAlign w:val="superscript"/>
    </w:rPr>
  </w:style>
  <w:style w:type="paragraph" w:customStyle="1" w:styleId="style4250">
    <w:name w:val="msonormal"/>
    <w:basedOn w:val="style0"/>
    <w:next w:val="style4250"/>
    <w:pPr>
      <w:spacing w:before="100" w:beforeAutospacing="true" w:after="100" w:afterAutospacing="true"/>
    </w:pPr>
    <w:rPr/>
  </w:style>
  <w:style w:type="character" w:styleId="style86">
    <w:name w:val="FollowedHyperlink"/>
    <w:basedOn w:val="style65"/>
    <w:next w:val="style86"/>
    <w:uiPriority w:val="99"/>
    <w:rPr>
      <w:color w:val="800080"/>
      <w:u w:val="single"/>
    </w:rPr>
  </w:style>
  <w:style w:type="table" w:styleId="style154">
    <w:name w:val="Table Grid"/>
    <w:basedOn w:val="style105"/>
    <w:next w:val="style154"/>
    <w:uiPriority w:val="3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customStyle="1" w:styleId="style4251">
    <w:name w:val="PDIC1"/>
    <w:basedOn w:val="style0"/>
    <w:next w:val="style4251"/>
    <w:qFormat/>
    <w:pPr>
      <w:ind w:left="-284"/>
    </w:pPr>
    <w:rPr>
      <w:rFonts w:ascii="Garamond" w:hAnsi="Garamond"/>
      <w:b/>
      <w:szCs w:val="28"/>
      <w:u w:val="single"/>
    </w:rPr>
  </w:style>
  <w:style w:type="paragraph" w:customStyle="1" w:styleId="style4252">
    <w:name w:val="PDIC2"/>
    <w:basedOn w:val="style0"/>
    <w:next w:val="style4252"/>
    <w:qFormat/>
    <w:pPr>
      <w:spacing w:lineRule="auto" w:line="276"/>
      <w:ind w:left="-284"/>
    </w:pPr>
    <w:rPr>
      <w:rFonts w:ascii="Garamond" w:hAnsi="Garamond"/>
      <w:sz w:val="22"/>
      <w:szCs w:val="28"/>
      <w:u w:val="double"/>
    </w:rPr>
  </w:style>
  <w:style w:type="paragraph" w:customStyle="1" w:styleId="style4253">
    <w:name w:val="PDIC3"/>
    <w:basedOn w:val="style0"/>
    <w:next w:val="style4253"/>
    <w:qFormat/>
    <w:pPr>
      <w:spacing w:after="160" w:lineRule="auto" w:line="259"/>
    </w:pPr>
    <w:rPr>
      <w:rFonts w:ascii="Garamond" w:hAnsi="Garamond"/>
      <w:b/>
      <w:i/>
      <w:szCs w:val="28"/>
    </w:rPr>
  </w:style>
  <w:style w:type="paragraph" w:customStyle="1" w:styleId="style4254">
    <w:name w:val="k1"/>
    <w:basedOn w:val="style0"/>
    <w:next w:val="style4254"/>
    <w:qFormat/>
    <w:pPr>
      <w:spacing w:after="200" w:lineRule="auto" w:line="276"/>
    </w:pPr>
    <w:rPr>
      <w:rFonts w:ascii="Tahoma" w:cs="Tahoma" w:eastAsia="Calibri" w:hAnsi="Tahoma"/>
      <w:b/>
      <w:szCs w:val="22"/>
      <w:lang w:eastAsia="en-US"/>
    </w:rPr>
  </w:style>
  <w:style w:type="paragraph" w:customStyle="1" w:styleId="style4255">
    <w:name w:val="xl63"/>
    <w:basedOn w:val="style0"/>
    <w:next w:val="style4255"/>
    <w:pPr>
      <w:pBdr>
        <w:left w:val="single" w:sz="4" w:space="0" w:color="auto"/>
        <w:right w:val="single" w:sz="4" w:space="0" w:color="auto"/>
        <w:top w:val="single" w:sz="4" w:space="0" w:color="auto"/>
        <w:bottom w:val="single" w:sz="4" w:space="0" w:color="auto"/>
      </w:pBdr>
      <w:spacing w:before="100" w:beforeAutospacing="true" w:after="100" w:afterAutospacing="true"/>
      <w:textAlignment w:val="center"/>
    </w:pPr>
    <w:rPr>
      <w:rFonts w:ascii="Century Gothic" w:hAnsi="Century Gothic"/>
      <w:b/>
      <w:bCs/>
    </w:rPr>
  </w:style>
  <w:style w:type="paragraph" w:customStyle="1" w:styleId="style4256">
    <w:name w:val="xl64"/>
    <w:basedOn w:val="style0"/>
    <w:next w:val="style4256"/>
    <w:pPr>
      <w:pBdr>
        <w:left w:val="single" w:sz="4" w:space="0" w:color="auto"/>
        <w:right w:val="single" w:sz="4" w:space="0" w:color="auto"/>
        <w:top w:val="single" w:sz="4" w:space="0" w:color="auto"/>
        <w:bottom w:val="single" w:sz="4" w:space="0" w:color="auto"/>
      </w:pBdr>
      <w:spacing w:before="100" w:beforeAutospacing="true" w:after="100" w:afterAutospacing="true"/>
      <w:jc w:val="both"/>
      <w:textAlignment w:val="center"/>
    </w:pPr>
    <w:rPr>
      <w:rFonts w:ascii="Century Gothic" w:hAnsi="Century Gothic"/>
      <w:b/>
      <w:bCs/>
    </w:rPr>
  </w:style>
  <w:style w:type="character" w:customStyle="1" w:styleId="style4257">
    <w:name w:val="dflfde"/>
    <w:basedOn w:val="style65"/>
    <w:next w:val="style4257"/>
  </w:style>
  <w:style w:type="character" w:customStyle="1" w:styleId="style4258">
    <w:name w:val="mwvive"/>
    <w:basedOn w:val="style65"/>
    <w:next w:val="style4258"/>
  </w:style>
  <w:style w:type="paragraph" w:styleId="style35">
    <w:name w:val="table of figures"/>
    <w:basedOn w:val="style0"/>
    <w:next w:val="style0"/>
    <w:uiPriority w:val="99"/>
    <w:pPr/>
  </w:style>
</w:styles>
</file>

<file path=word/_rels/document.xml.rels><?xml version="1.0" encoding="UTF-8"?>
<Relationships xmlns="http://schemas.openxmlformats.org/package/2006/relationships"><Relationship Id="rId20" Type="http://schemas.openxmlformats.org/officeDocument/2006/relationships/image" Target="media/image10.jpeg"/><Relationship Id="rId22" Type="http://schemas.openxmlformats.org/officeDocument/2006/relationships/styles" Target="styles.xml"/><Relationship Id="rId21" Type="http://schemas.openxmlformats.org/officeDocument/2006/relationships/footnotes" Target="footnotes.xml"/><Relationship Id="rId24" Type="http://schemas.openxmlformats.org/officeDocument/2006/relationships/settings" Target="settings.xml"/><Relationship Id="rId23"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footer" Target="footer1.xml"/><Relationship Id="rId4" Type="http://schemas.openxmlformats.org/officeDocument/2006/relationships/image" Target="media/image2.png"/><Relationship Id="rId9" Type="http://schemas.openxmlformats.org/officeDocument/2006/relationships/image" Target="media/image2.jpeg"/><Relationship Id="rId26" Type="http://schemas.openxmlformats.org/officeDocument/2006/relationships/customXml" Target="../customXml/item1.xml"/><Relationship Id="rId25"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chart" Target="charts/chart1.xml"/><Relationship Id="rId7" Type="http://schemas.openxmlformats.org/officeDocument/2006/relationships/image" Target="media/image4.png"/><Relationship Id="rId8" Type="http://schemas.openxmlformats.org/officeDocument/2006/relationships/oleObject" Target="embeddings/oleObject1.bin"/><Relationship Id="rId11" Type="http://schemas.openxmlformats.org/officeDocument/2006/relationships/image" Target="media/image4.jpeg"/><Relationship Id="rId10" Type="http://schemas.openxmlformats.org/officeDocument/2006/relationships/image" Target="media/image3.jpeg"/><Relationship Id="rId13" Type="http://schemas.openxmlformats.org/officeDocument/2006/relationships/image" Target="media/image5.png"/><Relationship Id="rId12" Type="http://schemas.openxmlformats.org/officeDocument/2006/relationships/image" Target="media/image5.jpeg"/><Relationship Id="rId15" Type="http://schemas.openxmlformats.org/officeDocument/2006/relationships/image" Target="media/image2.emf"/><Relationship Id="rId14" Type="http://schemas.openxmlformats.org/officeDocument/2006/relationships/image" Target="media/image6.png"/><Relationship Id="rId17" Type="http://schemas.openxmlformats.org/officeDocument/2006/relationships/image" Target="media/image7.jpeg"/><Relationship Id="rId16" Type="http://schemas.openxmlformats.org/officeDocument/2006/relationships/image" Target="media/image6.jpeg"/><Relationship Id="rId19" Type="http://schemas.openxmlformats.org/officeDocument/2006/relationships/image" Target="media/image9.jpeg"/><Relationship Id="rId18" Type="http://schemas.openxmlformats.org/officeDocument/2006/relationships/image" Target="media/image8.jpeg"/></Relationships>
</file>

<file path=word/charts/_rels/chart1.xml.rels><?xml version="1.0" encoding="UTF-8"?>
<Relationships xmlns="http://schemas.openxmlformats.org/package/2006/relationships"><Relationship Id="rId1" Type="http://schemas.openxmlformats.org/officeDocument/2006/relationships/package" Target="../embeddings/Microsoft_Excel____1.xlsx"/><Relationship Id="rId2" Type="http://schemas.microsoft.com/office/2011/relationships/chartStyle" Target="style1.xml"/><Relationship Id="rId3" Type="http://schemas.microsoft.com/office/2011/relationships/chartColorStyle" Target="colors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1"/>
            </a:solidFill>
            <a:ln>
              <a:noFill/>
            </a:ln>
            <a:effectLst/>
          </c:spPr>
          <c:invertIfNegative val="0"/>
          <c:cat>
            <c:strRef>
              <c:f>Feuil1!$A$2:$A$8</c:f>
              <c:strCache>
                <c:ptCount val="7"/>
                <c:pt idx="0">
                  <c:v>Culture pluviale et territoire agroforestier</c:v>
                </c:pt>
                <c:pt idx="1">
                  <c:v>Forêt galerie</c:v>
                </c:pt>
                <c:pt idx="2">
                  <c:v>Habitat</c:v>
                </c:pt>
                <c:pt idx="3">
                  <c:v>Plan d'eau</c:v>
                </c:pt>
                <c:pt idx="4">
                  <c:v>Savane arborée</c:v>
                </c:pt>
                <c:pt idx="5">
                  <c:v>Savane arbustive et herbeuse</c:v>
                </c:pt>
                <c:pt idx="6">
                  <c:v>Zone nue</c:v>
                </c:pt>
              </c:strCache>
            </c:strRef>
          </c:cat>
          <c:val>
            <c:numRef>
              <c:f>Feuil1!$L$2:$L$8</c:f>
              <c:numCache>
                <c:formatCode>0.00%</c:formatCode>
                <c:ptCount val="7"/>
                <c:pt idx="0">
                  <c:v>0.0178973227207496</c:v>
                </c:pt>
                <c:pt idx="1">
                  <c:v>-0.0126500599535471</c:v>
                </c:pt>
                <c:pt idx="2">
                  <c:v>0.0624758785560078</c:v>
                </c:pt>
                <c:pt idx="3">
                  <c:v>0.0104136861407269</c:v>
                </c:pt>
                <c:pt idx="4">
                  <c:v>-0.0100696544970689</c:v>
                </c:pt>
                <c:pt idx="5">
                  <c:v>-0.00573175598599836</c:v>
                </c:pt>
                <c:pt idx="6">
                  <c:v>-0.0174940509963603</c:v>
                </c:pt>
              </c:numCache>
            </c:numRef>
          </c:val>
        </c:ser>
        <c:dLbls>
          <c:showLegendKey val="0"/>
          <c:showVal val="0"/>
          <c:showCatName val="0"/>
          <c:showSerName val="0"/>
          <c:showPercent val="0"/>
          <c:showBubbleSize val="0"/>
        </c:dLbls>
        <c:gapWidth val="219"/>
        <c:overlap val="-27"/>
        <c:axId val="-464058256"/>
        <c:axId val="-464046288"/>
      </c:barChart>
      <c:catAx>
        <c:axId val="-46405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4046288"/>
        <c:crosses val="autoZero"/>
        <c:auto val="1"/>
        <c:lblAlgn val="ctr"/>
        <c:lblOffset val="100"/>
        <c:noMultiLvlLbl val="0"/>
      </c:catAx>
      <c:valAx>
        <c:axId val="-464046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900" b="0" i="0" baseline="0">
                    <a:effectLst/>
                  </a:rPr>
                  <a:t>Taux Moyenn annuel d'expansion spatiale</a:t>
                </a:r>
                <a:endParaRPr lang="fr-FR" sz="9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405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9097F-0DF8-468E-8EA6-398B9FD83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23445</Words>
  <Pages>76</Pages>
  <Characters>128627</Characters>
  <Application>WPS Office</Application>
  <DocSecurity>0</DocSecurity>
  <Paragraphs>3815</Paragraphs>
  <ScaleCrop>false</ScaleCrop>
  <Company>Microsoft</Company>
  <LinksUpToDate>false</LinksUpToDate>
  <CharactersWithSpaces>150239</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2021-09-14T13:46:08Z</dcterms:created>
  <dc:creator>Microsoft</dc:creator>
  <lastModifiedBy>Infinix X688B</lastModifiedBy>
  <lastPrinted>2018-04-27T15:18:00Z</lastPrinted>
  <dcterms:modified xsi:type="dcterms:W3CDTF">2021-09-14T13:46:10Z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e09d3f9b55bd47db99d02def72b58417</vt:lpwstr>
  </property>
</Properties>
</file>